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3EA" w:rsidRPr="005D53EA" w:rsidRDefault="005D53EA" w:rsidP="005D53EA">
      <w:pPr>
        <w:jc w:val="center"/>
        <w:rPr>
          <w:b/>
          <w:sz w:val="28"/>
          <w:szCs w:val="28"/>
        </w:rPr>
      </w:pPr>
      <w:r w:rsidRPr="005D53EA">
        <w:rPr>
          <w:b/>
          <w:sz w:val="28"/>
          <w:szCs w:val="28"/>
        </w:rPr>
        <w:t>проект</w:t>
      </w:r>
    </w:p>
    <w:p w:rsidR="005D53EA" w:rsidRPr="005D53EA" w:rsidRDefault="005D53EA" w:rsidP="005D53EA">
      <w:pPr>
        <w:jc w:val="center"/>
        <w:rPr>
          <w:b/>
          <w:sz w:val="28"/>
          <w:szCs w:val="28"/>
        </w:rPr>
      </w:pPr>
    </w:p>
    <w:p w:rsidR="005D53EA" w:rsidRPr="005D53EA" w:rsidRDefault="005D53EA" w:rsidP="005D53EA">
      <w:pPr>
        <w:jc w:val="center"/>
        <w:rPr>
          <w:b/>
          <w:sz w:val="28"/>
          <w:szCs w:val="28"/>
        </w:rPr>
      </w:pPr>
      <w:r w:rsidRPr="005D53EA">
        <w:rPr>
          <w:b/>
          <w:sz w:val="28"/>
          <w:szCs w:val="28"/>
        </w:rPr>
        <w:t>РОССИЙСКАЯ  ФЕДЕРАЦИЯ</w:t>
      </w:r>
    </w:p>
    <w:p w:rsidR="005D53EA" w:rsidRPr="005D53EA" w:rsidRDefault="005D53EA" w:rsidP="005D53EA">
      <w:pPr>
        <w:jc w:val="center"/>
        <w:rPr>
          <w:b/>
          <w:sz w:val="28"/>
          <w:szCs w:val="28"/>
        </w:rPr>
      </w:pPr>
      <w:r w:rsidRPr="005D53EA">
        <w:rPr>
          <w:b/>
          <w:sz w:val="28"/>
          <w:szCs w:val="28"/>
        </w:rPr>
        <w:t>НОВГОРОДСКАЯ  ОБЛАСТЬ</w:t>
      </w:r>
    </w:p>
    <w:p w:rsidR="005D53EA" w:rsidRPr="005D53EA" w:rsidRDefault="005D53EA" w:rsidP="005D53EA">
      <w:pPr>
        <w:jc w:val="center"/>
        <w:rPr>
          <w:b/>
          <w:sz w:val="28"/>
          <w:szCs w:val="28"/>
        </w:rPr>
      </w:pPr>
      <w:r w:rsidRPr="005D53EA">
        <w:rPr>
          <w:b/>
          <w:sz w:val="28"/>
          <w:szCs w:val="28"/>
        </w:rPr>
        <w:t>ДУМА СОЛЕЦКОГО МУНИЦИПАЛЬНОГО ОКРУГА</w:t>
      </w:r>
    </w:p>
    <w:p w:rsidR="005D53EA" w:rsidRPr="005D53EA" w:rsidRDefault="005D53EA" w:rsidP="005D53EA">
      <w:pPr>
        <w:jc w:val="center"/>
        <w:rPr>
          <w:b/>
          <w:sz w:val="28"/>
          <w:szCs w:val="28"/>
        </w:rPr>
      </w:pPr>
    </w:p>
    <w:p w:rsidR="005D53EA" w:rsidRPr="005D53EA" w:rsidRDefault="005D53EA" w:rsidP="005D53EA">
      <w:pPr>
        <w:jc w:val="center"/>
        <w:rPr>
          <w:b/>
          <w:sz w:val="28"/>
          <w:szCs w:val="28"/>
        </w:rPr>
      </w:pPr>
      <w:r w:rsidRPr="005D53EA">
        <w:rPr>
          <w:b/>
          <w:sz w:val="28"/>
          <w:szCs w:val="28"/>
        </w:rPr>
        <w:t>РЕШЕНИЕ</w:t>
      </w:r>
    </w:p>
    <w:p w:rsidR="005D53EA" w:rsidRPr="005D53EA" w:rsidRDefault="005D53EA" w:rsidP="005D53EA">
      <w:pPr>
        <w:jc w:val="center"/>
        <w:rPr>
          <w:b/>
          <w:sz w:val="28"/>
          <w:szCs w:val="28"/>
        </w:rPr>
      </w:pPr>
    </w:p>
    <w:p w:rsidR="005D53EA" w:rsidRPr="005D53EA" w:rsidRDefault="005D53EA" w:rsidP="005D53EA">
      <w:pPr>
        <w:jc w:val="center"/>
        <w:rPr>
          <w:b/>
          <w:sz w:val="28"/>
          <w:szCs w:val="28"/>
        </w:rPr>
      </w:pPr>
      <w:r w:rsidRPr="005D53EA">
        <w:rPr>
          <w:b/>
          <w:sz w:val="28"/>
          <w:szCs w:val="28"/>
        </w:rPr>
        <w:t xml:space="preserve">О бюджете </w:t>
      </w:r>
      <w:proofErr w:type="spellStart"/>
      <w:r w:rsidRPr="005D53EA">
        <w:rPr>
          <w:b/>
          <w:sz w:val="28"/>
          <w:szCs w:val="28"/>
        </w:rPr>
        <w:t>Солецкого</w:t>
      </w:r>
      <w:proofErr w:type="spellEnd"/>
      <w:r w:rsidRPr="005D53EA">
        <w:rPr>
          <w:b/>
          <w:sz w:val="28"/>
          <w:szCs w:val="28"/>
        </w:rPr>
        <w:t xml:space="preserve"> муниципального округа Новгородской области</w:t>
      </w:r>
    </w:p>
    <w:p w:rsidR="005D53EA" w:rsidRPr="005D53EA" w:rsidRDefault="005D53EA" w:rsidP="005D53EA">
      <w:pPr>
        <w:jc w:val="center"/>
        <w:rPr>
          <w:b/>
          <w:sz w:val="28"/>
          <w:szCs w:val="28"/>
        </w:rPr>
      </w:pPr>
      <w:r w:rsidRPr="005D53EA">
        <w:rPr>
          <w:b/>
          <w:sz w:val="28"/>
          <w:szCs w:val="28"/>
        </w:rPr>
        <w:t>на 2021 год и на плановый период 2022 и 2023 годов</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xml:space="preserve">Принято Думой </w:t>
      </w:r>
      <w:proofErr w:type="spellStart"/>
      <w:r w:rsidRPr="005D53EA">
        <w:rPr>
          <w:sz w:val="28"/>
          <w:szCs w:val="28"/>
        </w:rPr>
        <w:t>Солецкого</w:t>
      </w:r>
      <w:proofErr w:type="spellEnd"/>
      <w:r w:rsidRPr="005D53EA">
        <w:rPr>
          <w:sz w:val="28"/>
          <w:szCs w:val="28"/>
        </w:rPr>
        <w:t xml:space="preserve"> муниципального округа  </w:t>
      </w:r>
      <w:proofErr w:type="spellStart"/>
      <w:r w:rsidRPr="005D53EA">
        <w:rPr>
          <w:sz w:val="28"/>
          <w:szCs w:val="28"/>
        </w:rPr>
        <w:t>___декабря</w:t>
      </w:r>
      <w:proofErr w:type="spellEnd"/>
      <w:r w:rsidRPr="005D53EA">
        <w:rPr>
          <w:sz w:val="28"/>
          <w:szCs w:val="28"/>
        </w:rPr>
        <w:t xml:space="preserve">  2020  года</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xml:space="preserve">Дума </w:t>
      </w:r>
      <w:proofErr w:type="spellStart"/>
      <w:r w:rsidRPr="005D53EA">
        <w:rPr>
          <w:sz w:val="28"/>
          <w:szCs w:val="28"/>
        </w:rPr>
        <w:t>Солецкого</w:t>
      </w:r>
      <w:proofErr w:type="spellEnd"/>
      <w:r w:rsidRPr="005D53EA">
        <w:rPr>
          <w:sz w:val="28"/>
          <w:szCs w:val="28"/>
        </w:rPr>
        <w:t xml:space="preserve"> муниципального округа РЕШИЛА:</w:t>
      </w:r>
    </w:p>
    <w:p w:rsidR="005D53EA" w:rsidRPr="005D53EA" w:rsidRDefault="005D53EA" w:rsidP="005D53EA">
      <w:pPr>
        <w:jc w:val="both"/>
        <w:rPr>
          <w:sz w:val="28"/>
          <w:szCs w:val="28"/>
        </w:rPr>
      </w:pPr>
      <w:r w:rsidRPr="005D53EA">
        <w:rPr>
          <w:sz w:val="28"/>
          <w:szCs w:val="28"/>
        </w:rPr>
        <w:t xml:space="preserve">1. Утвердить основные характеристики бюджета </w:t>
      </w:r>
      <w:proofErr w:type="spellStart"/>
      <w:r w:rsidRPr="005D53EA">
        <w:rPr>
          <w:sz w:val="28"/>
          <w:szCs w:val="28"/>
        </w:rPr>
        <w:t>Солецкого</w:t>
      </w:r>
      <w:proofErr w:type="spellEnd"/>
      <w:r w:rsidRPr="005D53EA">
        <w:rPr>
          <w:sz w:val="28"/>
          <w:szCs w:val="28"/>
        </w:rPr>
        <w:t xml:space="preserve"> муниципального округа Новгородской области (далее  муниципального округа) на 2021 год:</w:t>
      </w:r>
    </w:p>
    <w:p w:rsidR="005D53EA" w:rsidRPr="005D53EA" w:rsidRDefault="005D53EA" w:rsidP="005D53EA">
      <w:pPr>
        <w:jc w:val="both"/>
        <w:rPr>
          <w:sz w:val="28"/>
          <w:szCs w:val="28"/>
        </w:rPr>
      </w:pPr>
      <w:r w:rsidRPr="005D53EA">
        <w:rPr>
          <w:sz w:val="28"/>
          <w:szCs w:val="28"/>
        </w:rPr>
        <w:t>1.1 прогнозируемый общий объем доходов  бюджета муниципального округа в сумме  543899,97508 тыс. рублей;</w:t>
      </w:r>
    </w:p>
    <w:p w:rsidR="005D53EA" w:rsidRPr="005D53EA" w:rsidRDefault="005D53EA" w:rsidP="005D53EA">
      <w:pPr>
        <w:jc w:val="both"/>
        <w:rPr>
          <w:sz w:val="28"/>
          <w:szCs w:val="28"/>
        </w:rPr>
      </w:pPr>
      <w:r w:rsidRPr="005D53EA">
        <w:rPr>
          <w:sz w:val="28"/>
          <w:szCs w:val="28"/>
        </w:rPr>
        <w:t>1.2 общий объем расходов бюджета муниципального округа в сумме                                        543899,97508 тыс. рублей;</w:t>
      </w:r>
    </w:p>
    <w:p w:rsidR="005D53EA" w:rsidRPr="005D53EA" w:rsidRDefault="005D53EA" w:rsidP="005D53EA">
      <w:pPr>
        <w:jc w:val="both"/>
        <w:rPr>
          <w:sz w:val="28"/>
          <w:szCs w:val="28"/>
        </w:rPr>
      </w:pPr>
      <w:r w:rsidRPr="005D53EA">
        <w:rPr>
          <w:sz w:val="28"/>
          <w:szCs w:val="28"/>
        </w:rPr>
        <w:t>1.3  дефицит  (</w:t>
      </w:r>
      <w:proofErr w:type="spellStart"/>
      <w:r w:rsidRPr="005D53EA">
        <w:rPr>
          <w:sz w:val="28"/>
          <w:szCs w:val="28"/>
        </w:rPr>
        <w:t>профицит</w:t>
      </w:r>
      <w:proofErr w:type="spellEnd"/>
      <w:r w:rsidRPr="005D53EA">
        <w:rPr>
          <w:sz w:val="28"/>
          <w:szCs w:val="28"/>
        </w:rPr>
        <w:t>) бюджета муниципального округа в сумме 0,00000  тыс. рублей.</w:t>
      </w:r>
    </w:p>
    <w:p w:rsidR="005D53EA" w:rsidRPr="005D53EA" w:rsidRDefault="005D53EA" w:rsidP="005D53EA">
      <w:pPr>
        <w:jc w:val="both"/>
        <w:rPr>
          <w:sz w:val="28"/>
          <w:szCs w:val="28"/>
        </w:rPr>
      </w:pPr>
      <w:r w:rsidRPr="005D53EA">
        <w:rPr>
          <w:sz w:val="28"/>
          <w:szCs w:val="28"/>
        </w:rPr>
        <w:t>2. Утвердить основные характеристики  бюджета муниципального района на 2022 год и на 2023 год:</w:t>
      </w:r>
    </w:p>
    <w:p w:rsidR="005D53EA" w:rsidRPr="005D53EA" w:rsidRDefault="005D53EA" w:rsidP="005D53EA">
      <w:pPr>
        <w:jc w:val="both"/>
        <w:rPr>
          <w:sz w:val="28"/>
          <w:szCs w:val="28"/>
        </w:rPr>
      </w:pPr>
      <w:r w:rsidRPr="005D53EA">
        <w:rPr>
          <w:sz w:val="28"/>
          <w:szCs w:val="28"/>
        </w:rPr>
        <w:lastRenderedPageBreak/>
        <w:t>2.1  прогнозируемый общий объем доходов  бюджета муниципального округа на 2022 год в сумме 273238,39900 тыс. рублей, на 2023 год в сумме 273829,41640 тыс. рублей;</w:t>
      </w:r>
    </w:p>
    <w:p w:rsidR="005D53EA" w:rsidRPr="005D53EA" w:rsidRDefault="005D53EA" w:rsidP="005D53EA">
      <w:pPr>
        <w:jc w:val="both"/>
        <w:rPr>
          <w:sz w:val="28"/>
          <w:szCs w:val="28"/>
        </w:rPr>
      </w:pPr>
      <w:r w:rsidRPr="005D53EA">
        <w:rPr>
          <w:sz w:val="28"/>
          <w:szCs w:val="28"/>
        </w:rPr>
        <w:t>2.2 общий объем расходов бюджета муниципального округа  на 2022 год в сумме  273238,39900 тыс. рублей, в том числе условно утвержденные расходы в сумме 6591,59524 тыс. рублей, и  на 2023 год в сумме 273829,41640 тыс. рублей, в том числе условно утвержденные расходы в сумме 9530,58583 тыс. рублей;</w:t>
      </w:r>
    </w:p>
    <w:p w:rsidR="005D53EA" w:rsidRPr="005D53EA" w:rsidRDefault="005D53EA" w:rsidP="005D53EA">
      <w:pPr>
        <w:jc w:val="both"/>
        <w:rPr>
          <w:sz w:val="28"/>
          <w:szCs w:val="28"/>
        </w:rPr>
      </w:pPr>
      <w:r w:rsidRPr="005D53EA">
        <w:rPr>
          <w:sz w:val="28"/>
          <w:szCs w:val="28"/>
        </w:rPr>
        <w:t>2.3 дефицит (</w:t>
      </w:r>
      <w:proofErr w:type="spellStart"/>
      <w:r w:rsidRPr="005D53EA">
        <w:rPr>
          <w:sz w:val="28"/>
          <w:szCs w:val="28"/>
        </w:rPr>
        <w:t>профицит</w:t>
      </w:r>
      <w:proofErr w:type="spellEnd"/>
      <w:r w:rsidRPr="005D53EA">
        <w:rPr>
          <w:sz w:val="28"/>
          <w:szCs w:val="28"/>
        </w:rPr>
        <w:t>) бюджета муниципального округа на 2022 год и на 2023 год в сумме 0,00000 тыс. рублей.</w:t>
      </w:r>
    </w:p>
    <w:p w:rsidR="005D53EA" w:rsidRPr="005D53EA" w:rsidRDefault="005D53EA" w:rsidP="005D53EA">
      <w:pPr>
        <w:jc w:val="both"/>
        <w:rPr>
          <w:sz w:val="28"/>
          <w:szCs w:val="28"/>
        </w:rPr>
      </w:pPr>
      <w:r w:rsidRPr="005D53EA">
        <w:rPr>
          <w:sz w:val="28"/>
          <w:szCs w:val="28"/>
        </w:rPr>
        <w:t>3.Утвердить прогнозируемые поступления доходов в бюджет муниципального округа  на 2021 год и на плановый период 2022 и 2023 годов согласно приложению №1 к настоящему решению.</w:t>
      </w:r>
    </w:p>
    <w:p w:rsidR="005D53EA" w:rsidRPr="005D53EA" w:rsidRDefault="005D53EA" w:rsidP="005D53EA">
      <w:pPr>
        <w:jc w:val="both"/>
        <w:rPr>
          <w:sz w:val="28"/>
          <w:szCs w:val="28"/>
        </w:rPr>
      </w:pPr>
      <w:r w:rsidRPr="005D53EA">
        <w:rPr>
          <w:sz w:val="28"/>
          <w:szCs w:val="28"/>
        </w:rPr>
        <w:t>4. Утвердить   источники внутреннего финансирования дефицита бюджета муниципального округа  на 2021 год и на плановый период 2022 и 2023 годов   согласно приложению № 2 к настоящему решению.</w:t>
      </w:r>
    </w:p>
    <w:p w:rsidR="005D53EA" w:rsidRPr="005D53EA" w:rsidRDefault="005D53EA" w:rsidP="005D53EA">
      <w:pPr>
        <w:jc w:val="both"/>
        <w:rPr>
          <w:sz w:val="28"/>
          <w:szCs w:val="28"/>
        </w:rPr>
      </w:pPr>
      <w:r w:rsidRPr="005D53EA">
        <w:rPr>
          <w:sz w:val="28"/>
          <w:szCs w:val="28"/>
        </w:rPr>
        <w:t xml:space="preserve"> 5. </w:t>
      </w:r>
      <w:proofErr w:type="gramStart"/>
      <w:r w:rsidRPr="005D53EA">
        <w:rPr>
          <w:sz w:val="28"/>
          <w:szCs w:val="28"/>
        </w:rPr>
        <w:t>Установить, что в 2021 году остатки средств  бюджета муниципального округа по состоянию на 1 января 2021 года, за исключением остатков неиспользованных средств муниципального дорожного фонда, межбюджетных трансфертов, полученных от других бюджетов бюджетной системы Российской Федерации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округа  снижения остатков</w:t>
      </w:r>
      <w:proofErr w:type="gramEnd"/>
      <w:r w:rsidRPr="005D53EA">
        <w:rPr>
          <w:sz w:val="28"/>
          <w:szCs w:val="28"/>
        </w:rPr>
        <w:t xml:space="preserve"> средств на счете по учету средств  бюджета муниципального округа,  могут в полном объеме  направляться на покрытие временных кассовых разрывов.</w:t>
      </w:r>
    </w:p>
    <w:p w:rsidR="005D53EA" w:rsidRPr="005D53EA" w:rsidRDefault="005D53EA" w:rsidP="005D53EA">
      <w:pPr>
        <w:jc w:val="both"/>
        <w:rPr>
          <w:sz w:val="28"/>
          <w:szCs w:val="28"/>
        </w:rPr>
      </w:pPr>
      <w:r w:rsidRPr="005D53EA">
        <w:rPr>
          <w:sz w:val="28"/>
          <w:szCs w:val="28"/>
        </w:rPr>
        <w:t xml:space="preserve">6. </w:t>
      </w:r>
      <w:proofErr w:type="gramStart"/>
      <w:r w:rsidRPr="005D53EA">
        <w:rPr>
          <w:sz w:val="28"/>
          <w:szCs w:val="28"/>
        </w:rPr>
        <w:t>Принять к сведению, что в  соответствии с пунктом 2 статьи 184.1   Бюджетного кодекса Российской Федерации  и областным законом «Об областном бюджете на 2021 год и на плановый период 2022 и 2023 годов»,  распределение доходов в  бюджет муниципального округа на 2021 год и на плановый период 2022 и 2023 годов осуществляется по нормативам согласно приложениям №№ 3-4 к настоящему  решению.</w:t>
      </w:r>
      <w:proofErr w:type="gramEnd"/>
    </w:p>
    <w:p w:rsidR="005D53EA" w:rsidRPr="005D53EA" w:rsidRDefault="005D53EA" w:rsidP="005D53EA">
      <w:pPr>
        <w:jc w:val="both"/>
        <w:rPr>
          <w:sz w:val="28"/>
          <w:szCs w:val="28"/>
        </w:rPr>
      </w:pPr>
      <w:r w:rsidRPr="005D53EA">
        <w:rPr>
          <w:sz w:val="28"/>
          <w:szCs w:val="28"/>
        </w:rPr>
        <w:lastRenderedPageBreak/>
        <w:t>7. Утвердить перечень главных администраторов доходов бюджета муниципального округа согласно приложению № 5  к настоящему  решению.</w:t>
      </w:r>
    </w:p>
    <w:p w:rsidR="005D53EA" w:rsidRPr="005D53EA" w:rsidRDefault="005D53EA" w:rsidP="005D53EA">
      <w:pPr>
        <w:jc w:val="both"/>
        <w:rPr>
          <w:sz w:val="28"/>
          <w:szCs w:val="28"/>
        </w:rPr>
      </w:pPr>
      <w:r w:rsidRPr="005D53EA">
        <w:rPr>
          <w:sz w:val="28"/>
          <w:szCs w:val="28"/>
        </w:rPr>
        <w:t xml:space="preserve">8. Утвердить перечень главных </w:t>
      </w:r>
      <w:proofErr w:type="gramStart"/>
      <w:r w:rsidRPr="005D53EA">
        <w:rPr>
          <w:sz w:val="28"/>
          <w:szCs w:val="28"/>
        </w:rPr>
        <w:t>администраторов источников финансирования дефицита бюджета муниципального округа</w:t>
      </w:r>
      <w:proofErr w:type="gramEnd"/>
      <w:r w:rsidRPr="005D53EA">
        <w:rPr>
          <w:sz w:val="28"/>
          <w:szCs w:val="28"/>
        </w:rPr>
        <w:t>  согласно приложению № 6  к настоящему  решению.</w:t>
      </w:r>
    </w:p>
    <w:p w:rsidR="005D53EA" w:rsidRPr="005D53EA" w:rsidRDefault="005D53EA" w:rsidP="005D53EA">
      <w:pPr>
        <w:jc w:val="both"/>
        <w:rPr>
          <w:sz w:val="28"/>
          <w:szCs w:val="28"/>
        </w:rPr>
      </w:pPr>
      <w:r w:rsidRPr="005D53EA">
        <w:rPr>
          <w:sz w:val="28"/>
          <w:szCs w:val="28"/>
        </w:rPr>
        <w:t>9. Установить процент отчислений в бюджет муниципального округа части прибыли муниципальных унитарных предприятий за 2020-2022 годы, остающейся после уплаты налогов и иных обязательных платежей:</w:t>
      </w:r>
    </w:p>
    <w:p w:rsidR="005D53EA" w:rsidRPr="005D53EA" w:rsidRDefault="005D53EA" w:rsidP="005D53EA">
      <w:pPr>
        <w:jc w:val="both"/>
        <w:rPr>
          <w:sz w:val="28"/>
          <w:szCs w:val="28"/>
        </w:rPr>
      </w:pPr>
      <w:r w:rsidRPr="005D53EA">
        <w:rPr>
          <w:sz w:val="28"/>
          <w:szCs w:val="28"/>
        </w:rPr>
        <w:t>для предприятий, применяющих общий режим налогообложения, в размере 50 и 60 процентов, при общей рентабельности до 10 и свыше 10 процентов соответственно;</w:t>
      </w:r>
    </w:p>
    <w:p w:rsidR="005D53EA" w:rsidRPr="005D53EA" w:rsidRDefault="005D53EA" w:rsidP="005D53EA">
      <w:pPr>
        <w:jc w:val="both"/>
        <w:rPr>
          <w:sz w:val="28"/>
          <w:szCs w:val="28"/>
        </w:rPr>
      </w:pPr>
      <w:r w:rsidRPr="005D53EA">
        <w:rPr>
          <w:sz w:val="28"/>
          <w:szCs w:val="28"/>
        </w:rPr>
        <w:t> для предприятий, применяющих специальные режимы налогообложения - в размере  50 процентов.</w:t>
      </w:r>
    </w:p>
    <w:p w:rsidR="005D53EA" w:rsidRPr="005D53EA" w:rsidRDefault="005D53EA" w:rsidP="005D53EA">
      <w:pPr>
        <w:jc w:val="both"/>
        <w:rPr>
          <w:sz w:val="28"/>
          <w:szCs w:val="28"/>
        </w:rPr>
      </w:pPr>
      <w:r w:rsidRPr="005D53EA">
        <w:rPr>
          <w:sz w:val="28"/>
          <w:szCs w:val="28"/>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5D53EA" w:rsidRPr="005D53EA" w:rsidRDefault="005D53EA" w:rsidP="005D53EA">
      <w:pPr>
        <w:jc w:val="both"/>
        <w:rPr>
          <w:sz w:val="28"/>
          <w:szCs w:val="28"/>
        </w:rPr>
      </w:pPr>
      <w:r w:rsidRPr="005D53EA">
        <w:rPr>
          <w:sz w:val="28"/>
          <w:szCs w:val="28"/>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5D53EA" w:rsidRPr="005D53EA" w:rsidRDefault="005D53EA" w:rsidP="005D53EA">
      <w:pPr>
        <w:jc w:val="both"/>
        <w:rPr>
          <w:sz w:val="28"/>
          <w:szCs w:val="28"/>
        </w:rPr>
      </w:pPr>
      <w:r w:rsidRPr="005D53EA">
        <w:rPr>
          <w:sz w:val="28"/>
          <w:szCs w:val="28"/>
        </w:rPr>
        <w:t>Установить, что:</w:t>
      </w:r>
    </w:p>
    <w:p w:rsidR="005D53EA" w:rsidRPr="005D53EA" w:rsidRDefault="005D53EA" w:rsidP="005D53EA">
      <w:pPr>
        <w:jc w:val="both"/>
        <w:rPr>
          <w:sz w:val="28"/>
          <w:szCs w:val="28"/>
        </w:rPr>
      </w:pPr>
      <w:r w:rsidRPr="005D53EA">
        <w:rPr>
          <w:sz w:val="28"/>
          <w:szCs w:val="28"/>
        </w:rPr>
        <w:t>за несвоевременное и (или) неполное перечисление в бюджет  муниципального округа части  прибыли муниципальное унитарное предприятие  уплачивает пени по процентной  ставке,   равной   одной трехсотой действующей  на дату их уплаты  ключевой ставки  Центрального Банка   Российской   Федерации,  за каждый день просрочки от суммы платежа, определенной в соответствии с настоящим пунктом;</w:t>
      </w:r>
    </w:p>
    <w:p w:rsidR="005D53EA" w:rsidRPr="005D53EA" w:rsidRDefault="005D53EA" w:rsidP="005D53EA">
      <w:pPr>
        <w:jc w:val="both"/>
        <w:rPr>
          <w:sz w:val="28"/>
          <w:szCs w:val="28"/>
        </w:rPr>
      </w:pPr>
      <w:r w:rsidRPr="005D53EA">
        <w:rPr>
          <w:sz w:val="28"/>
          <w:szCs w:val="28"/>
        </w:rPr>
        <w:t xml:space="preserve">в случае </w:t>
      </w:r>
      <w:proofErr w:type="gramStart"/>
      <w:r w:rsidRPr="005D53EA">
        <w:rPr>
          <w:sz w:val="28"/>
          <w:szCs w:val="28"/>
        </w:rPr>
        <w:t>выявления фактов занижения размеров части</w:t>
      </w:r>
      <w:proofErr w:type="gramEnd"/>
      <w:r w:rsidRPr="005D53EA">
        <w:rPr>
          <w:sz w:val="28"/>
          <w:szCs w:val="28"/>
        </w:rPr>
        <w:t xml:space="preserve"> прибыли, подлежащей перечислению в бюджет муниципального округа,  при сдаче  бухгалтерских   отчетов, а  также  по результатам проверок  муниципальное унитарное предприятие уплачивает задолженность и пени, а также штраф в </w:t>
      </w:r>
      <w:r w:rsidRPr="005D53EA">
        <w:rPr>
          <w:sz w:val="28"/>
          <w:szCs w:val="28"/>
        </w:rPr>
        <w:lastRenderedPageBreak/>
        <w:t>размере 20 процентов от неуплаченной суммы платежа, определенной в соответствии с настоящим пунктом;</w:t>
      </w:r>
    </w:p>
    <w:p w:rsidR="005D53EA" w:rsidRPr="005D53EA" w:rsidRDefault="005D53EA" w:rsidP="005D53EA">
      <w:pPr>
        <w:jc w:val="both"/>
        <w:rPr>
          <w:sz w:val="28"/>
          <w:szCs w:val="28"/>
        </w:rPr>
      </w:pPr>
      <w:r w:rsidRPr="005D53EA">
        <w:rPr>
          <w:sz w:val="28"/>
          <w:szCs w:val="28"/>
        </w:rPr>
        <w:t xml:space="preserve">зачисление части прибыли в бюджет  муниципального округа муниципальными унитарными предприятиями производится в  срок до 1 мая года, следующего за </w:t>
      </w:r>
      <w:proofErr w:type="gramStart"/>
      <w:r w:rsidRPr="005D53EA">
        <w:rPr>
          <w:sz w:val="28"/>
          <w:szCs w:val="28"/>
        </w:rPr>
        <w:t>отчетным</w:t>
      </w:r>
      <w:proofErr w:type="gramEnd"/>
      <w:r w:rsidRPr="005D53EA">
        <w:rPr>
          <w:sz w:val="28"/>
          <w:szCs w:val="28"/>
        </w:rPr>
        <w:t>;</w:t>
      </w:r>
    </w:p>
    <w:p w:rsidR="005D53EA" w:rsidRPr="005D53EA" w:rsidRDefault="005D53EA" w:rsidP="005D53EA">
      <w:pPr>
        <w:jc w:val="both"/>
        <w:rPr>
          <w:sz w:val="28"/>
          <w:szCs w:val="28"/>
        </w:rPr>
      </w:pPr>
      <w:r w:rsidRPr="005D53EA">
        <w:rPr>
          <w:sz w:val="28"/>
          <w:szCs w:val="28"/>
        </w:rPr>
        <w:t xml:space="preserve"> полнота и своевременность перечисления предприятиями в бюджет муниципального округа части прибыли контролируется комитетом по экономике, инвестициям и сельскому хозяйству Администрации муниципального </w:t>
      </w:r>
      <w:proofErr w:type="gramStart"/>
      <w:r w:rsidRPr="005D53EA">
        <w:rPr>
          <w:sz w:val="28"/>
          <w:szCs w:val="28"/>
        </w:rPr>
        <w:t>округа</w:t>
      </w:r>
      <w:proofErr w:type="gramEnd"/>
      <w:r w:rsidRPr="005D53EA">
        <w:rPr>
          <w:sz w:val="28"/>
          <w:szCs w:val="28"/>
        </w:rPr>
        <w:t xml:space="preserve">  на основании представляемой предприятием годовой  бухгалтерской отчетности,  расчета части прибыли, подлежащей перечислению в бюджет муниципального округа, и копий платежных документов, подтверждающих перечисление части прибыли.</w:t>
      </w:r>
    </w:p>
    <w:p w:rsidR="005D53EA" w:rsidRPr="005D53EA" w:rsidRDefault="005D53EA" w:rsidP="005D53EA">
      <w:pPr>
        <w:jc w:val="both"/>
        <w:rPr>
          <w:sz w:val="28"/>
          <w:szCs w:val="28"/>
        </w:rPr>
      </w:pPr>
      <w:r w:rsidRPr="005D53EA">
        <w:rPr>
          <w:sz w:val="28"/>
          <w:szCs w:val="28"/>
        </w:rPr>
        <w:t>10. Установить, что операции со средствами, поступающими во временное распоряжение получателей средств бюджета муниципального округа в соответствии с  нормативными правовыми актами Российской Федерации,  нормативными правовыми актами области,  муниципального округа,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5D53EA" w:rsidRPr="005D53EA" w:rsidRDefault="005D53EA" w:rsidP="005D53EA">
      <w:pPr>
        <w:jc w:val="both"/>
        <w:rPr>
          <w:sz w:val="28"/>
          <w:szCs w:val="28"/>
        </w:rPr>
      </w:pPr>
      <w:r w:rsidRPr="005D53EA">
        <w:rPr>
          <w:sz w:val="28"/>
          <w:szCs w:val="28"/>
        </w:rPr>
        <w:t>11. </w:t>
      </w:r>
      <w:proofErr w:type="gramStart"/>
      <w:r w:rsidRPr="005D53EA">
        <w:rPr>
          <w:sz w:val="28"/>
          <w:szCs w:val="28"/>
        </w:rPr>
        <w:t>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муниципального округа, казначейских счетах для осуществления и отражения операций с денежными средствами муниципальных  бюджетных и автономных учреждений, привлекаются Управлением Федерального казначейства по Новгородской области в 2021 году  на единый счет бюджета муниципального округа, а также возвращаются на указанные счета в</w:t>
      </w:r>
      <w:proofErr w:type="gramEnd"/>
      <w:r w:rsidRPr="005D53EA">
        <w:rPr>
          <w:sz w:val="28"/>
          <w:szCs w:val="28"/>
        </w:rPr>
        <w:t xml:space="preserve"> </w:t>
      </w:r>
      <w:proofErr w:type="gramStart"/>
      <w:r w:rsidRPr="005D53EA">
        <w:rPr>
          <w:sz w:val="28"/>
          <w:szCs w:val="28"/>
        </w:rPr>
        <w:t xml:space="preserve">порядке, установленном Правительством Российской Федерации, и в соответствии с Соглашением о перечислении остатков средств муниципальных бюджетных и автономных учреждений, а также средств, поступающих во временное распоряжение получателей средств бюджета муниципального округа, заключенным между Управлением Федерального казначейства по Новгородской области и Администрацией </w:t>
      </w:r>
      <w:proofErr w:type="spellStart"/>
      <w:r w:rsidRPr="005D53EA">
        <w:rPr>
          <w:sz w:val="28"/>
          <w:szCs w:val="28"/>
        </w:rPr>
        <w:t>Солецкого</w:t>
      </w:r>
      <w:proofErr w:type="spellEnd"/>
      <w:r w:rsidRPr="005D53EA">
        <w:rPr>
          <w:sz w:val="28"/>
          <w:szCs w:val="28"/>
        </w:rPr>
        <w:t xml:space="preserve"> муниципального округа Новгородской области.</w:t>
      </w:r>
      <w:proofErr w:type="gramEnd"/>
    </w:p>
    <w:p w:rsidR="005D53EA" w:rsidRPr="005D53EA" w:rsidRDefault="005D53EA" w:rsidP="005D53EA">
      <w:pPr>
        <w:jc w:val="both"/>
        <w:rPr>
          <w:sz w:val="28"/>
          <w:szCs w:val="28"/>
        </w:rPr>
      </w:pPr>
      <w:r w:rsidRPr="005D53EA">
        <w:rPr>
          <w:sz w:val="28"/>
          <w:szCs w:val="28"/>
        </w:rPr>
        <w:lastRenderedPageBreak/>
        <w:t>12. Утвердить объем межбюджетных трансфертов, получаемых из других бюджетов бюджетной системы Российской Федерации на 2021 год в сумме 381402,27508 тыс. рублей</w:t>
      </w:r>
      <w:bookmarkStart w:id="0" w:name="_Toc164233586"/>
      <w:r w:rsidRPr="005D53EA">
        <w:rPr>
          <w:sz w:val="28"/>
          <w:szCs w:val="28"/>
        </w:rPr>
        <w:t>, на 2022 год в сумме 109516,29900 тыс. рублей и на 2023 год в сумме 109150,71640 тыс. рублей. </w:t>
      </w:r>
      <w:bookmarkEnd w:id="0"/>
    </w:p>
    <w:p w:rsidR="005D53EA" w:rsidRPr="005D53EA" w:rsidRDefault="005D53EA" w:rsidP="005D53EA">
      <w:pPr>
        <w:jc w:val="both"/>
        <w:rPr>
          <w:sz w:val="28"/>
          <w:szCs w:val="28"/>
        </w:rPr>
      </w:pPr>
      <w:r w:rsidRPr="005D53EA">
        <w:rPr>
          <w:sz w:val="28"/>
          <w:szCs w:val="28"/>
        </w:rPr>
        <w:t>13. Утвердить общий объем бюджетных ассигнований, направляемых на исполнение публичных нормативных обязательств,  на 2021  год в сумме         12500,90000  тыс. рублей, на 2022 год в сумме 12500,90000  тыс. рублей и на 2023 год в сумме 12500,90000  тыс. рублей.</w:t>
      </w:r>
    </w:p>
    <w:p w:rsidR="005D53EA" w:rsidRPr="005D53EA" w:rsidRDefault="005D53EA" w:rsidP="005D53EA">
      <w:pPr>
        <w:jc w:val="both"/>
        <w:rPr>
          <w:sz w:val="28"/>
          <w:szCs w:val="28"/>
        </w:rPr>
      </w:pPr>
      <w:r w:rsidRPr="005D53EA">
        <w:rPr>
          <w:sz w:val="28"/>
          <w:szCs w:val="28"/>
        </w:rPr>
        <w:t>14. Утвердить ведомственную структуру расходов  бюджета муниципального округа на 2021 год и на плановый период 2022 и 2023 годов  согласно приложению № 7 к настоящему решению.</w:t>
      </w:r>
    </w:p>
    <w:p w:rsidR="005D53EA" w:rsidRPr="005D53EA" w:rsidRDefault="005D53EA" w:rsidP="005D53EA">
      <w:pPr>
        <w:jc w:val="both"/>
        <w:rPr>
          <w:sz w:val="28"/>
          <w:szCs w:val="28"/>
        </w:rPr>
      </w:pPr>
      <w:r w:rsidRPr="005D53EA">
        <w:rPr>
          <w:sz w:val="28"/>
          <w:szCs w:val="28"/>
        </w:rPr>
        <w:t xml:space="preserve"> 15. Утвердить  распределение бюджетных ассигнований по разделам и подразделам, целевым статьям (муниципальным программам муниципального округа  и </w:t>
      </w:r>
      <w:proofErr w:type="spellStart"/>
      <w:r w:rsidRPr="005D53EA">
        <w:rPr>
          <w:sz w:val="28"/>
          <w:szCs w:val="28"/>
        </w:rPr>
        <w:t>непрограммным</w:t>
      </w:r>
      <w:proofErr w:type="spellEnd"/>
      <w:r w:rsidRPr="005D53EA">
        <w:rPr>
          <w:sz w:val="28"/>
          <w:szCs w:val="28"/>
        </w:rPr>
        <w:t xml:space="preserve"> направлениям деятельности)</w:t>
      </w:r>
      <w:proofErr w:type="gramStart"/>
      <w:r w:rsidRPr="005D53EA">
        <w:rPr>
          <w:sz w:val="28"/>
          <w:szCs w:val="28"/>
        </w:rPr>
        <w:t xml:space="preserve"> ,</w:t>
      </w:r>
      <w:proofErr w:type="gramEnd"/>
      <w:r w:rsidRPr="005D53EA">
        <w:rPr>
          <w:sz w:val="28"/>
          <w:szCs w:val="28"/>
        </w:rPr>
        <w:t xml:space="preserve"> подгруппам  видов  расходов  классификации расходов бюджета муниципального округа  на 2021 год и на плановый период 2022 и 2023 годов   согласно приложению № 8 к настоящему решению. </w:t>
      </w:r>
    </w:p>
    <w:p w:rsidR="005D53EA" w:rsidRPr="005D53EA" w:rsidRDefault="005D53EA" w:rsidP="005D53EA">
      <w:pPr>
        <w:jc w:val="both"/>
        <w:rPr>
          <w:sz w:val="28"/>
          <w:szCs w:val="28"/>
        </w:rPr>
      </w:pPr>
      <w:r w:rsidRPr="005D53EA">
        <w:rPr>
          <w:sz w:val="28"/>
          <w:szCs w:val="28"/>
        </w:rPr>
        <w:t xml:space="preserve">  16.   Утвердить распределение бюджетных ассигнований по целевым статьям (муниципальным программам муниципального округа и </w:t>
      </w:r>
      <w:proofErr w:type="spellStart"/>
      <w:r w:rsidRPr="005D53EA">
        <w:rPr>
          <w:sz w:val="28"/>
          <w:szCs w:val="28"/>
        </w:rPr>
        <w:t>непрограммным</w:t>
      </w:r>
      <w:proofErr w:type="spellEnd"/>
      <w:r w:rsidRPr="005D53EA">
        <w:rPr>
          <w:sz w:val="28"/>
          <w:szCs w:val="28"/>
        </w:rPr>
        <w:t xml:space="preserve"> направлениям деятельности),  подгруппам </w:t>
      </w:r>
      <w:proofErr w:type="gramStart"/>
      <w:r w:rsidRPr="005D53EA">
        <w:rPr>
          <w:sz w:val="28"/>
          <w:szCs w:val="28"/>
        </w:rPr>
        <w:t>видов расходов классификации расходов бюджета муниципального округа</w:t>
      </w:r>
      <w:proofErr w:type="gramEnd"/>
      <w:r w:rsidRPr="005D53EA">
        <w:rPr>
          <w:sz w:val="28"/>
          <w:szCs w:val="28"/>
        </w:rPr>
        <w:t xml:space="preserve"> на 2021 год и на плановый период 2022 и 2023 годов  согласно приложению №9 к настоящему решению.</w:t>
      </w:r>
    </w:p>
    <w:p w:rsidR="005D53EA" w:rsidRPr="005D53EA" w:rsidRDefault="005D53EA" w:rsidP="005D53EA">
      <w:pPr>
        <w:jc w:val="both"/>
        <w:rPr>
          <w:sz w:val="28"/>
          <w:szCs w:val="28"/>
        </w:rPr>
      </w:pPr>
      <w:r w:rsidRPr="005D53EA">
        <w:rPr>
          <w:sz w:val="28"/>
          <w:szCs w:val="28"/>
        </w:rPr>
        <w:t> 17. Утвердить объем бюджетных ассигнований муниципального дорожного фонда  на 2021 год в сумме   15825,80000 тыс. рублей,  на 2022 год в сумме  12911,90000 тыс. рублей, на  2023 год в сумме 13032,80000 тыс. рублей.</w:t>
      </w:r>
    </w:p>
    <w:p w:rsidR="005D53EA" w:rsidRPr="005D53EA" w:rsidRDefault="005D53EA" w:rsidP="005D53EA">
      <w:pPr>
        <w:jc w:val="both"/>
        <w:rPr>
          <w:sz w:val="28"/>
          <w:szCs w:val="28"/>
        </w:rPr>
      </w:pPr>
      <w:r w:rsidRPr="005D53EA">
        <w:rPr>
          <w:sz w:val="28"/>
          <w:szCs w:val="28"/>
        </w:rPr>
        <w:t> 18. Предоставлять субсидии юридическим лицам (за исключением субсидий муниципальным (государственным) учреждениям), индивидуальным предпринимателям и физическим лицам – производителям товаров, работ, услуг в порядке, установленном Администрацией муниципального округа:</w:t>
      </w:r>
    </w:p>
    <w:p w:rsidR="005D53EA" w:rsidRPr="005D53EA" w:rsidRDefault="005D53EA" w:rsidP="005D53EA">
      <w:pPr>
        <w:jc w:val="both"/>
        <w:rPr>
          <w:sz w:val="28"/>
          <w:szCs w:val="28"/>
        </w:rPr>
      </w:pPr>
      <w:r w:rsidRPr="005D53EA">
        <w:rPr>
          <w:sz w:val="28"/>
          <w:szCs w:val="28"/>
        </w:rPr>
        <w:t xml:space="preserve">18.1.в соответствии с программой «Развитие малого и среднего предпринимательства в </w:t>
      </w:r>
      <w:proofErr w:type="spellStart"/>
      <w:r w:rsidRPr="005D53EA">
        <w:rPr>
          <w:sz w:val="28"/>
          <w:szCs w:val="28"/>
        </w:rPr>
        <w:t>Солецком</w:t>
      </w:r>
      <w:proofErr w:type="spellEnd"/>
      <w:r w:rsidRPr="005D53EA">
        <w:rPr>
          <w:sz w:val="28"/>
          <w:szCs w:val="28"/>
        </w:rPr>
        <w:t xml:space="preserve"> муниципальном округе»:</w:t>
      </w:r>
    </w:p>
    <w:p w:rsidR="005D53EA" w:rsidRPr="005D53EA" w:rsidRDefault="005D53EA" w:rsidP="005D53EA">
      <w:pPr>
        <w:jc w:val="both"/>
        <w:rPr>
          <w:sz w:val="28"/>
          <w:szCs w:val="28"/>
        </w:rPr>
      </w:pPr>
      <w:r w:rsidRPr="005D53EA">
        <w:rPr>
          <w:sz w:val="28"/>
          <w:szCs w:val="28"/>
        </w:rPr>
        <w:lastRenderedPageBreak/>
        <w:t>субъектам малого предпринимательства на оказание финансовой поддержки инвестиционных проектов субъектов малого предпринимательства,  путем возмещения  части затрат на уплату  процентов по кредитам в рамках действующего законодательства Российской Федерации;</w:t>
      </w:r>
    </w:p>
    <w:p w:rsidR="005D53EA" w:rsidRPr="005D53EA" w:rsidRDefault="005D53EA" w:rsidP="005D53EA">
      <w:pPr>
        <w:jc w:val="both"/>
        <w:rPr>
          <w:sz w:val="28"/>
          <w:szCs w:val="28"/>
        </w:rPr>
      </w:pPr>
      <w:r w:rsidRPr="005D53EA">
        <w:rPr>
          <w:sz w:val="28"/>
          <w:szCs w:val="28"/>
        </w:rPr>
        <w:t xml:space="preserve">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w:t>
      </w:r>
      <w:proofErr w:type="gramStart"/>
      <w:r w:rsidRPr="005D53EA">
        <w:rPr>
          <w:sz w:val="28"/>
          <w:szCs w:val="28"/>
        </w:rPr>
        <w:t>предпринимательской</w:t>
      </w:r>
      <w:proofErr w:type="gramEnd"/>
      <w:r w:rsidRPr="005D53EA">
        <w:rPr>
          <w:sz w:val="28"/>
          <w:szCs w:val="28"/>
        </w:rPr>
        <w:t xml:space="preserve"> деятельностей.</w:t>
      </w:r>
    </w:p>
    <w:p w:rsidR="005D53EA" w:rsidRPr="005D53EA" w:rsidRDefault="005D53EA" w:rsidP="005D53EA">
      <w:pPr>
        <w:jc w:val="both"/>
        <w:rPr>
          <w:sz w:val="28"/>
          <w:szCs w:val="28"/>
        </w:rPr>
      </w:pPr>
      <w:r w:rsidRPr="005D53EA">
        <w:rPr>
          <w:sz w:val="28"/>
          <w:szCs w:val="28"/>
        </w:rPr>
        <w:t>18.2. в соответствии с муниципальной программой «Формирование современной городской среды на территории города Сольцы» в целях реализации федерального проекта «Формирование комфортной городской среды» на выполнение работ, направленных на благоустройство дворовых территорий многоквартирных домов, расположенных на территории города Сольцы:</w:t>
      </w:r>
    </w:p>
    <w:p w:rsidR="005D53EA" w:rsidRPr="005D53EA" w:rsidRDefault="005D53EA" w:rsidP="005D53EA">
      <w:pPr>
        <w:jc w:val="both"/>
        <w:rPr>
          <w:sz w:val="28"/>
          <w:szCs w:val="28"/>
        </w:rPr>
      </w:pPr>
      <w:r w:rsidRPr="005D53EA">
        <w:rPr>
          <w:sz w:val="28"/>
          <w:szCs w:val="28"/>
        </w:rPr>
        <w:t> товариществам собственников жилья, жилищно-строительным кооперативам, управляющим организациям, обслуживающим организациям.</w:t>
      </w:r>
    </w:p>
    <w:p w:rsidR="005D53EA" w:rsidRPr="005D53EA" w:rsidRDefault="005D53EA" w:rsidP="005D53EA">
      <w:pPr>
        <w:jc w:val="both"/>
        <w:rPr>
          <w:sz w:val="28"/>
          <w:szCs w:val="28"/>
        </w:rPr>
      </w:pPr>
      <w:r w:rsidRPr="005D53EA">
        <w:rPr>
          <w:sz w:val="28"/>
          <w:szCs w:val="28"/>
        </w:rPr>
        <w:t>19. Установить на  2021-2023  годы  размер единовременной компенсационной выплаты  на лечение (оздоровление) муниципальным служащим и лицам, замещающим муниципальные должности  муниципального округа, осуществляющим  свою деятельность на постоянной (штатной) основе в сумме 40050,00 рублей.</w:t>
      </w:r>
    </w:p>
    <w:p w:rsidR="005D53EA" w:rsidRPr="005D53EA" w:rsidRDefault="005D53EA" w:rsidP="005D53EA">
      <w:pPr>
        <w:jc w:val="both"/>
        <w:rPr>
          <w:sz w:val="28"/>
          <w:szCs w:val="28"/>
        </w:rPr>
      </w:pPr>
      <w:r w:rsidRPr="005D53EA">
        <w:rPr>
          <w:sz w:val="28"/>
          <w:szCs w:val="28"/>
        </w:rPr>
        <w:t>20.Утвердить Программу внутренних муниципальных заимствований муниципального округа  на 2021 год и на плановый период 2022 и 2023 годов  согласно приложению  № 10.</w:t>
      </w:r>
    </w:p>
    <w:p w:rsidR="005D53EA" w:rsidRPr="005D53EA" w:rsidRDefault="005D53EA" w:rsidP="005D53EA">
      <w:pPr>
        <w:jc w:val="both"/>
        <w:rPr>
          <w:sz w:val="28"/>
          <w:szCs w:val="28"/>
        </w:rPr>
      </w:pPr>
      <w:r w:rsidRPr="005D53EA">
        <w:rPr>
          <w:sz w:val="28"/>
          <w:szCs w:val="28"/>
        </w:rPr>
        <w:t>21. Установить предельный объем муниципального внутреннего долга муниципального округа на 2021 год в сумме 30889,20000   тыс. рублей, на 2022 год в сумме 32870,00000 тыс. рублей,  на 2023 год в сумме  32870,00000 тыс. рублей.</w:t>
      </w:r>
    </w:p>
    <w:p w:rsidR="005D53EA" w:rsidRPr="005D53EA" w:rsidRDefault="005D53EA" w:rsidP="005D53EA">
      <w:pPr>
        <w:jc w:val="both"/>
        <w:rPr>
          <w:sz w:val="28"/>
          <w:szCs w:val="28"/>
        </w:rPr>
      </w:pPr>
      <w:r w:rsidRPr="005D53EA">
        <w:rPr>
          <w:sz w:val="28"/>
          <w:szCs w:val="28"/>
        </w:rPr>
        <w:t>Установить верхний предел муниципального внутреннего долга муниципального округа на 1 января  2022  года в сумме 16435,00000 тыс. рублей, на 1 января 2023 года в сумме 16435,00000 тыс. рублей,  на 1 января 2024 года в сумме  16435,00000 тыс. рублей. </w:t>
      </w:r>
    </w:p>
    <w:p w:rsidR="005D53EA" w:rsidRPr="005D53EA" w:rsidRDefault="005D53EA" w:rsidP="005D53EA">
      <w:pPr>
        <w:jc w:val="both"/>
        <w:rPr>
          <w:sz w:val="28"/>
          <w:szCs w:val="28"/>
        </w:rPr>
      </w:pPr>
      <w:r w:rsidRPr="005D53EA">
        <w:rPr>
          <w:sz w:val="28"/>
          <w:szCs w:val="28"/>
        </w:rPr>
        <w:lastRenderedPageBreak/>
        <w:t xml:space="preserve">22. Установить, что в 2021 году и в плановом периоде 2022 и 2023 годов муниципальные гарантии </w:t>
      </w:r>
      <w:proofErr w:type="spellStart"/>
      <w:r w:rsidRPr="005D53EA">
        <w:rPr>
          <w:sz w:val="28"/>
          <w:szCs w:val="28"/>
        </w:rPr>
        <w:t>Солецкого</w:t>
      </w:r>
      <w:proofErr w:type="spellEnd"/>
      <w:r w:rsidRPr="005D53EA">
        <w:rPr>
          <w:sz w:val="28"/>
          <w:szCs w:val="28"/>
        </w:rPr>
        <w:t xml:space="preserve"> муниципального округа не предоставляются.</w:t>
      </w:r>
    </w:p>
    <w:p w:rsidR="005D53EA" w:rsidRPr="005D53EA" w:rsidRDefault="005D53EA" w:rsidP="005D53EA">
      <w:pPr>
        <w:jc w:val="both"/>
        <w:rPr>
          <w:sz w:val="28"/>
          <w:szCs w:val="28"/>
        </w:rPr>
      </w:pPr>
      <w:r w:rsidRPr="005D53EA">
        <w:rPr>
          <w:sz w:val="28"/>
          <w:szCs w:val="28"/>
        </w:rPr>
        <w:t>23. Установить объем бюджетных ассигнований резервного фонда Администрации муниципального округа на 2021 год  и на плановый период 2022 и 2023 годов по 200,00000 тыс. рублей  ежегодно.</w:t>
      </w:r>
    </w:p>
    <w:p w:rsidR="005D53EA" w:rsidRPr="005D53EA" w:rsidRDefault="005D53EA" w:rsidP="005D53EA">
      <w:pPr>
        <w:jc w:val="both"/>
        <w:rPr>
          <w:sz w:val="28"/>
          <w:szCs w:val="28"/>
        </w:rPr>
      </w:pPr>
      <w:r w:rsidRPr="005D53EA">
        <w:rPr>
          <w:sz w:val="28"/>
          <w:szCs w:val="28"/>
        </w:rPr>
        <w:t>24. Установить, что в соответствии с решениями Главы муниципального округа дополнительно к основаниям, установленным </w:t>
      </w:r>
      <w:hyperlink r:id="rId5" w:history="1">
        <w:r w:rsidRPr="005D53EA">
          <w:rPr>
            <w:rStyle w:val="a4"/>
            <w:sz w:val="28"/>
            <w:szCs w:val="28"/>
          </w:rPr>
          <w:t>пунктом 3 статьи 217</w:t>
        </w:r>
      </w:hyperlink>
      <w:r w:rsidRPr="005D53EA">
        <w:rPr>
          <w:sz w:val="28"/>
          <w:szCs w:val="28"/>
        </w:rPr>
        <w:t> Бюджетного кодекса Российской Федерации, может осуществляться внесение изменений в сводную бюджетную роспись бюджета муниципального округа без внесения изменений в настоящее решение по следующим основаниям:</w:t>
      </w:r>
    </w:p>
    <w:p w:rsidR="005D53EA" w:rsidRPr="005D53EA" w:rsidRDefault="005D53EA" w:rsidP="005D53EA">
      <w:pPr>
        <w:jc w:val="both"/>
        <w:rPr>
          <w:sz w:val="28"/>
          <w:szCs w:val="28"/>
        </w:rPr>
      </w:pPr>
      <w:r w:rsidRPr="005D53EA">
        <w:rPr>
          <w:sz w:val="28"/>
          <w:szCs w:val="28"/>
        </w:rPr>
        <w:t xml:space="preserve">приведение </w:t>
      </w:r>
      <w:proofErr w:type="gramStart"/>
      <w:r w:rsidRPr="005D53EA">
        <w:rPr>
          <w:sz w:val="28"/>
          <w:szCs w:val="28"/>
        </w:rPr>
        <w:t>кодов бюджетной классификации расходов бюджета муниципального округа</w:t>
      </w:r>
      <w:proofErr w:type="gramEnd"/>
      <w:r w:rsidRPr="005D53EA">
        <w:rPr>
          <w:sz w:val="28"/>
          <w:szCs w:val="28"/>
        </w:rPr>
        <w:t> и источников внутреннего финансирования дефицита бюджета муниципального округа в соответствие с бюджетной классификацией Российской Федерации;</w:t>
      </w:r>
    </w:p>
    <w:p w:rsidR="005D53EA" w:rsidRPr="005D53EA" w:rsidRDefault="005D53EA" w:rsidP="005D53EA">
      <w:pPr>
        <w:jc w:val="both"/>
        <w:rPr>
          <w:sz w:val="28"/>
          <w:szCs w:val="28"/>
        </w:rPr>
      </w:pPr>
      <w:r w:rsidRPr="005D53EA">
        <w:rPr>
          <w:sz w:val="28"/>
          <w:szCs w:val="28"/>
        </w:rPr>
        <w:t xml:space="preserve">уточнение </w:t>
      </w:r>
      <w:proofErr w:type="gramStart"/>
      <w:r w:rsidRPr="005D53EA">
        <w:rPr>
          <w:sz w:val="28"/>
          <w:szCs w:val="28"/>
        </w:rPr>
        <w:t>источников внутреннего финансирования дефицита бюджета муниципального округа</w:t>
      </w:r>
      <w:proofErr w:type="gramEnd"/>
      <w:r w:rsidRPr="005D53EA">
        <w:rPr>
          <w:sz w:val="28"/>
          <w:szCs w:val="28"/>
        </w:rPr>
        <w:t xml:space="preserve"> в случае предоставления бюджету муниципального округа из областного бюджета бюджетных кредитов;</w:t>
      </w:r>
    </w:p>
    <w:p w:rsidR="005D53EA" w:rsidRPr="005D53EA" w:rsidRDefault="005D53EA" w:rsidP="005D53EA">
      <w:pPr>
        <w:jc w:val="both"/>
        <w:rPr>
          <w:sz w:val="28"/>
          <w:szCs w:val="28"/>
        </w:rPr>
      </w:pPr>
      <w:r w:rsidRPr="005D53EA">
        <w:rPr>
          <w:sz w:val="28"/>
          <w:szCs w:val="28"/>
        </w:rPr>
        <w:t xml:space="preserve">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муниципального округа и </w:t>
      </w:r>
      <w:proofErr w:type="spellStart"/>
      <w:r w:rsidRPr="005D53EA">
        <w:rPr>
          <w:sz w:val="28"/>
          <w:szCs w:val="28"/>
        </w:rPr>
        <w:t>непрограммными</w:t>
      </w:r>
      <w:proofErr w:type="spellEnd"/>
      <w:r w:rsidRPr="005D53EA">
        <w:rPr>
          <w:sz w:val="28"/>
          <w:szCs w:val="28"/>
        </w:rPr>
        <w:t xml:space="preserve"> направлениями деятельности), группами и подгруппами </w:t>
      </w:r>
      <w:proofErr w:type="gramStart"/>
      <w:r w:rsidRPr="005D53EA">
        <w:rPr>
          <w:sz w:val="28"/>
          <w:szCs w:val="28"/>
        </w:rPr>
        <w:t>видов расходов классификации расходов  бюджета муниципального округа</w:t>
      </w:r>
      <w:proofErr w:type="gramEnd"/>
      <w:r w:rsidRPr="005D53EA">
        <w:rPr>
          <w:sz w:val="28"/>
          <w:szCs w:val="28"/>
        </w:rPr>
        <w:t xml:space="preserve"> в пределах объема бюджетных ассигнований, предусмотренных главному распорядителю средств бюджета муниципального округа на реализацию </w:t>
      </w:r>
      <w:proofErr w:type="spellStart"/>
      <w:r w:rsidRPr="005D53EA">
        <w:rPr>
          <w:sz w:val="28"/>
          <w:szCs w:val="28"/>
        </w:rPr>
        <w:t>непрограммных</w:t>
      </w:r>
      <w:proofErr w:type="spellEnd"/>
      <w:r w:rsidRPr="005D53EA">
        <w:rPr>
          <w:sz w:val="28"/>
          <w:szCs w:val="28"/>
        </w:rPr>
        <w:t xml:space="preserve"> направлений деятельности;</w:t>
      </w:r>
    </w:p>
    <w:p w:rsidR="005D53EA" w:rsidRPr="005D53EA" w:rsidRDefault="005D53EA" w:rsidP="005D53EA">
      <w:pPr>
        <w:jc w:val="both"/>
        <w:rPr>
          <w:sz w:val="28"/>
          <w:szCs w:val="28"/>
        </w:rPr>
      </w:pPr>
      <w:r w:rsidRPr="005D53EA">
        <w:rPr>
          <w:sz w:val="28"/>
          <w:szCs w:val="28"/>
        </w:rPr>
        <w:t xml:space="preserve">перераспределение бюджетных ассигнований между подгруппами </w:t>
      </w:r>
      <w:proofErr w:type="gramStart"/>
      <w:r w:rsidRPr="005D53EA">
        <w:rPr>
          <w:sz w:val="28"/>
          <w:szCs w:val="28"/>
        </w:rPr>
        <w:t>вида расходов классификации расходов бюджета муниципального округа</w:t>
      </w:r>
      <w:proofErr w:type="gramEnd"/>
      <w:r w:rsidRPr="005D53EA">
        <w:rPr>
          <w:sz w:val="28"/>
          <w:szCs w:val="28"/>
        </w:rPr>
        <w:t xml:space="preserve">  в пределах общего объема бюджетных ассигнований, предусмотренных главному распорядителю средств бюджета муниципального округа по соответствующей целевой статье и группе вида расходов классификации расходов бюджета муниципального округа;</w:t>
      </w:r>
    </w:p>
    <w:p w:rsidR="005D53EA" w:rsidRPr="005D53EA" w:rsidRDefault="005D53EA" w:rsidP="005D53EA">
      <w:pPr>
        <w:jc w:val="both"/>
        <w:rPr>
          <w:sz w:val="28"/>
          <w:szCs w:val="28"/>
        </w:rPr>
      </w:pPr>
      <w:proofErr w:type="gramStart"/>
      <w:r w:rsidRPr="005D53EA">
        <w:rPr>
          <w:sz w:val="28"/>
          <w:szCs w:val="28"/>
        </w:rPr>
        <w:lastRenderedPageBreak/>
        <w:t xml:space="preserve">перераспределение бюджетных ассигнований между разделами, подразделами, целевыми статьями (муниципальными программами муниципального округа и </w:t>
      </w:r>
      <w:proofErr w:type="spellStart"/>
      <w:r w:rsidRPr="005D53EA">
        <w:rPr>
          <w:sz w:val="28"/>
          <w:szCs w:val="28"/>
        </w:rPr>
        <w:t>непрограммными</w:t>
      </w:r>
      <w:proofErr w:type="spellEnd"/>
      <w:r w:rsidRPr="005D53EA">
        <w:rPr>
          <w:sz w:val="28"/>
          <w:szCs w:val="28"/>
        </w:rPr>
        <w:t xml:space="preserve"> направлениями деятельности), группами и подгруппами видов расходов классификации расходов бюджета муниципального округа,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муниципального округа  для выполнения условий в целях получения субсидий, иных межбюджетных трансфертов из областного бюджета.</w:t>
      </w:r>
      <w:proofErr w:type="gramEnd"/>
    </w:p>
    <w:p w:rsidR="005D53EA" w:rsidRPr="005D53EA" w:rsidRDefault="005D53EA" w:rsidP="005D53EA">
      <w:pPr>
        <w:jc w:val="both"/>
        <w:rPr>
          <w:sz w:val="28"/>
          <w:szCs w:val="28"/>
        </w:rPr>
      </w:pPr>
      <w:proofErr w:type="gramStart"/>
      <w:r w:rsidRPr="005D53EA">
        <w:rPr>
          <w:sz w:val="28"/>
          <w:szCs w:val="28"/>
        </w:rPr>
        <w:t xml:space="preserve">перераспределение бюджетных ассигнований между разделами, подразделами, целевыми статьями (муниципальными программами муниципального округа и </w:t>
      </w:r>
      <w:proofErr w:type="spellStart"/>
      <w:r w:rsidRPr="005D53EA">
        <w:rPr>
          <w:sz w:val="28"/>
          <w:szCs w:val="28"/>
        </w:rPr>
        <w:t>непрограммными</w:t>
      </w:r>
      <w:proofErr w:type="spellEnd"/>
      <w:r w:rsidRPr="005D53EA">
        <w:rPr>
          <w:sz w:val="28"/>
          <w:szCs w:val="28"/>
        </w:rPr>
        <w:t xml:space="preserve"> направлениями деятельности), группами и подгруппами видов расходов классификации расходов бюджета муниципального округа в пределах, предусмотренных главным распорядителям средств бюджета муниципального округа бюджетных ассигнований на предоставление муниципальным бюджетным учреждениям и автономным учреждениям субсидий на финансовое обеспечение муниципального  задания на оказание муниципальных услуг (выполнение работ) и субсидий на</w:t>
      </w:r>
      <w:proofErr w:type="gramEnd"/>
      <w:r w:rsidRPr="005D53EA">
        <w:rPr>
          <w:sz w:val="28"/>
          <w:szCs w:val="28"/>
        </w:rPr>
        <w:t xml:space="preserve"> иные цели;</w:t>
      </w:r>
    </w:p>
    <w:p w:rsidR="005D53EA" w:rsidRPr="005D53EA" w:rsidRDefault="005D53EA" w:rsidP="005D53EA">
      <w:pPr>
        <w:jc w:val="both"/>
        <w:rPr>
          <w:sz w:val="28"/>
          <w:szCs w:val="28"/>
        </w:rPr>
      </w:pPr>
      <w:r w:rsidRPr="005D53EA">
        <w:rPr>
          <w:sz w:val="28"/>
          <w:szCs w:val="28"/>
        </w:rPr>
        <w:t xml:space="preserve">перераспределение бюджетных ассигнований между группами и (или) подгруппами </w:t>
      </w:r>
      <w:proofErr w:type="gramStart"/>
      <w:r w:rsidRPr="005D53EA">
        <w:rPr>
          <w:sz w:val="28"/>
          <w:szCs w:val="28"/>
        </w:rPr>
        <w:t>видов расходов классификации расходов бюджета муниципального округа</w:t>
      </w:r>
      <w:proofErr w:type="gramEnd"/>
      <w:r w:rsidRPr="005D53EA">
        <w:rPr>
          <w:sz w:val="28"/>
          <w:szCs w:val="28"/>
        </w:rPr>
        <w:t xml:space="preserve"> в пределах, предусмотренных главным распорядителям средств бюджета  муниципального округа бюджетных ассигнований на обеспечение деятельности органов местного самоуправления муниципального округа и подведомственных им муниципальных казенных учреждений;</w:t>
      </w:r>
    </w:p>
    <w:p w:rsidR="005D53EA" w:rsidRPr="005D53EA" w:rsidRDefault="005D53EA" w:rsidP="005D53EA">
      <w:pPr>
        <w:jc w:val="both"/>
        <w:rPr>
          <w:sz w:val="28"/>
          <w:szCs w:val="28"/>
        </w:rPr>
      </w:pPr>
      <w:r w:rsidRPr="005D53EA">
        <w:rPr>
          <w:sz w:val="28"/>
          <w:szCs w:val="28"/>
        </w:rPr>
        <w:t xml:space="preserve">направление бюджетных ассигнований дорожного фонда муниципального округа </w:t>
      </w:r>
      <w:proofErr w:type="gramStart"/>
      <w:r w:rsidRPr="005D53EA">
        <w:rPr>
          <w:sz w:val="28"/>
          <w:szCs w:val="28"/>
        </w:rPr>
        <w:t>в объеме их неполного использования в отчетном финансовом году на увеличение бюджетных ассигнований дорожного фонда муниципального округа в текущем финансовом году в соответствии</w:t>
      </w:r>
      <w:proofErr w:type="gramEnd"/>
      <w:r w:rsidRPr="005D53EA">
        <w:rPr>
          <w:sz w:val="28"/>
          <w:szCs w:val="28"/>
        </w:rPr>
        <w:t xml:space="preserve"> со статьей 96 и пунктом 5 статьи 179.4 Бюджетного кодекса Российской Федерации;</w:t>
      </w:r>
    </w:p>
    <w:p w:rsidR="005D53EA" w:rsidRPr="005D53EA" w:rsidRDefault="005D53EA" w:rsidP="005D53EA">
      <w:pPr>
        <w:jc w:val="both"/>
        <w:rPr>
          <w:sz w:val="28"/>
          <w:szCs w:val="28"/>
        </w:rPr>
      </w:pPr>
      <w:proofErr w:type="gramStart"/>
      <w:r w:rsidRPr="005D53EA">
        <w:rPr>
          <w:sz w:val="28"/>
          <w:szCs w:val="28"/>
        </w:rPr>
        <w:t xml:space="preserve">перераспределение бюджетных ассигнований между главными распорядителями средств бюджета муниципального округа, разделами, подразделами, целевыми статьями (муниципальными программами муниципального округа и </w:t>
      </w:r>
      <w:proofErr w:type="spellStart"/>
      <w:r w:rsidRPr="005D53EA">
        <w:rPr>
          <w:sz w:val="28"/>
          <w:szCs w:val="28"/>
        </w:rPr>
        <w:t>непрограммными</w:t>
      </w:r>
      <w:proofErr w:type="spellEnd"/>
      <w:r w:rsidRPr="005D53EA">
        <w:rPr>
          <w:sz w:val="28"/>
          <w:szCs w:val="28"/>
        </w:rPr>
        <w:t xml:space="preserve"> направлениями деятельности), </w:t>
      </w:r>
      <w:r w:rsidRPr="005D53EA">
        <w:rPr>
          <w:sz w:val="28"/>
          <w:szCs w:val="28"/>
        </w:rPr>
        <w:lastRenderedPageBreak/>
        <w:t>группами и подгруппами видов расходов классификации расходов бюджета муниципального округа в целях финансового обеспечения региональных проектов, обеспечивающих достижение целей, показателей и результатов федеральных проектов, входящих в состав национальных проектов (программ), определенных Указом Президента Российской Федерации от 7 мая</w:t>
      </w:r>
      <w:proofErr w:type="gramEnd"/>
      <w:r w:rsidRPr="005D53EA">
        <w:rPr>
          <w:sz w:val="28"/>
          <w:szCs w:val="28"/>
        </w:rPr>
        <w:t xml:space="preserve"> 2018 года № 204 «О национальных целях и стратегических задачах развития Российской Федерации на период до 2024 года».</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25. Настоящее  решение вступает в силу с 1 января 2021 года.</w:t>
      </w:r>
    </w:p>
    <w:p w:rsidR="005D53EA" w:rsidRPr="005D53EA" w:rsidRDefault="005D53EA" w:rsidP="005D53EA">
      <w:pPr>
        <w:jc w:val="both"/>
        <w:rPr>
          <w:sz w:val="28"/>
          <w:szCs w:val="28"/>
        </w:rPr>
      </w:pPr>
      <w:r w:rsidRPr="005D53EA">
        <w:rPr>
          <w:sz w:val="28"/>
          <w:szCs w:val="28"/>
        </w:rPr>
        <w:t xml:space="preserve">26. Опубликовать настоящее решение в периодическом печатном </w:t>
      </w:r>
      <w:proofErr w:type="spellStart"/>
      <w:proofErr w:type="gramStart"/>
      <w:r w:rsidRPr="005D53EA">
        <w:rPr>
          <w:sz w:val="28"/>
          <w:szCs w:val="28"/>
        </w:rPr>
        <w:t>издании-бюллетень</w:t>
      </w:r>
      <w:proofErr w:type="spellEnd"/>
      <w:proofErr w:type="gramEnd"/>
      <w:r w:rsidRPr="005D53EA">
        <w:rPr>
          <w:sz w:val="28"/>
          <w:szCs w:val="28"/>
        </w:rPr>
        <w:t xml:space="preserve"> «</w:t>
      </w:r>
      <w:proofErr w:type="spellStart"/>
      <w:r w:rsidRPr="005D53EA">
        <w:rPr>
          <w:sz w:val="28"/>
          <w:szCs w:val="28"/>
        </w:rPr>
        <w:t>Солецкий</w:t>
      </w:r>
      <w:proofErr w:type="spellEnd"/>
      <w:r w:rsidRPr="005D53EA">
        <w:rPr>
          <w:sz w:val="28"/>
          <w:szCs w:val="28"/>
        </w:rPr>
        <w:t xml:space="preserve"> вестник» и разместить на официальном сайте Администрации </w:t>
      </w:r>
      <w:proofErr w:type="spellStart"/>
      <w:r w:rsidRPr="005D53EA">
        <w:rPr>
          <w:sz w:val="28"/>
          <w:szCs w:val="28"/>
        </w:rPr>
        <w:t>Солецкого</w:t>
      </w:r>
      <w:proofErr w:type="spellEnd"/>
      <w:r w:rsidRPr="005D53EA">
        <w:rPr>
          <w:sz w:val="28"/>
          <w:szCs w:val="28"/>
        </w:rPr>
        <w:t xml:space="preserve"> муниципального района в информационно-телекоммуникационной сети «Интернет».</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Проект подготовила и завизировала</w:t>
      </w:r>
    </w:p>
    <w:p w:rsidR="005D53EA" w:rsidRPr="005D53EA" w:rsidRDefault="005D53EA" w:rsidP="005D53EA">
      <w:pPr>
        <w:jc w:val="both"/>
        <w:rPr>
          <w:sz w:val="28"/>
          <w:szCs w:val="28"/>
        </w:rPr>
      </w:pPr>
      <w:r w:rsidRPr="005D53EA">
        <w:rPr>
          <w:sz w:val="28"/>
          <w:szCs w:val="28"/>
        </w:rPr>
        <w:t>Заведующая финансовым отделом                                 Т.Ю.Петрова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ЛИСТ СОГЛАСОВАНИЯ</w:t>
      </w:r>
    </w:p>
    <w:p w:rsidR="005D53EA" w:rsidRPr="005D53EA" w:rsidRDefault="005D53EA" w:rsidP="005D53EA">
      <w:pPr>
        <w:jc w:val="both"/>
        <w:rPr>
          <w:sz w:val="28"/>
          <w:szCs w:val="28"/>
        </w:rPr>
      </w:pPr>
      <w:r w:rsidRPr="005D53EA">
        <w:rPr>
          <w:sz w:val="28"/>
          <w:szCs w:val="28"/>
        </w:rPr>
        <w:t> </w:t>
      </w:r>
    </w:p>
    <w:tbl>
      <w:tblPr>
        <w:tblW w:w="0" w:type="auto"/>
        <w:jc w:val="center"/>
        <w:shd w:val="clear" w:color="auto" w:fill="8A9AA4"/>
        <w:tblCellMar>
          <w:top w:w="15" w:type="dxa"/>
          <w:left w:w="15" w:type="dxa"/>
          <w:bottom w:w="15" w:type="dxa"/>
          <w:right w:w="15" w:type="dxa"/>
        </w:tblCellMar>
        <w:tblLook w:val="04A0"/>
      </w:tblPr>
      <w:tblGrid>
        <w:gridCol w:w="2791"/>
        <w:gridCol w:w="181"/>
        <w:gridCol w:w="181"/>
        <w:gridCol w:w="1188"/>
        <w:gridCol w:w="391"/>
        <w:gridCol w:w="809"/>
      </w:tblGrid>
      <w:tr w:rsidR="005D53EA" w:rsidRPr="005D53EA" w:rsidTr="005D53EA">
        <w:trPr>
          <w:jc w:val="center"/>
        </w:trPr>
        <w:tc>
          <w:tcPr>
            <w:tcW w:w="2791" w:type="dxa"/>
            <w:tcBorders>
              <w:top w:val="nil"/>
              <w:left w:val="nil"/>
              <w:bottom w:val="single" w:sz="6" w:space="0" w:color="000000"/>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lastRenderedPageBreak/>
              <w:t xml:space="preserve">Проект решения Думы </w:t>
            </w:r>
            <w:proofErr w:type="spellStart"/>
            <w:r w:rsidRPr="005D53EA">
              <w:rPr>
                <w:sz w:val="28"/>
                <w:szCs w:val="28"/>
              </w:rPr>
              <w:t>Солецкого</w:t>
            </w:r>
            <w:proofErr w:type="spellEnd"/>
            <w:r w:rsidRPr="005D53EA">
              <w:rPr>
                <w:sz w:val="28"/>
                <w:szCs w:val="28"/>
              </w:rPr>
              <w:t xml:space="preserve"> муниципального района</w:t>
            </w:r>
          </w:p>
        </w:tc>
        <w:tc>
          <w:tcPr>
            <w:tcW w:w="304" w:type="dxa"/>
            <w:gridSpan w:val="2"/>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от</w:t>
            </w:r>
          </w:p>
        </w:tc>
        <w:tc>
          <w:tcPr>
            <w:tcW w:w="1188" w:type="dxa"/>
            <w:tcBorders>
              <w:top w:val="nil"/>
              <w:left w:val="nil"/>
              <w:bottom w:val="single" w:sz="6" w:space="0" w:color="000000"/>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297" w:type="dxa"/>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w:t>
            </w:r>
          </w:p>
        </w:tc>
        <w:tc>
          <w:tcPr>
            <w:tcW w:w="809" w:type="dxa"/>
            <w:tcBorders>
              <w:top w:val="nil"/>
              <w:left w:val="nil"/>
              <w:bottom w:val="single" w:sz="6" w:space="0" w:color="000000"/>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rPr>
          <w:jc w:val="center"/>
        </w:trPr>
        <w:tc>
          <w:tcPr>
            <w:tcW w:w="2791" w:type="dxa"/>
            <w:tcBorders>
              <w:top w:val="nil"/>
              <w:left w:val="nil"/>
              <w:bottom w:val="nil"/>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(вид документа)</w:t>
            </w:r>
          </w:p>
        </w:tc>
        <w:tc>
          <w:tcPr>
            <w:tcW w:w="148" w:type="dxa"/>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63" w:type="dxa"/>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188" w:type="dxa"/>
            <w:tcBorders>
              <w:top w:val="nil"/>
              <w:left w:val="nil"/>
              <w:bottom w:val="nil"/>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297" w:type="dxa"/>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809" w:type="dxa"/>
            <w:tcBorders>
              <w:top w:val="nil"/>
              <w:left w:val="nil"/>
              <w:bottom w:val="nil"/>
              <w:right w:val="nil"/>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rPr>
          <w:jc w:val="center"/>
        </w:trPr>
        <w:tc>
          <w:tcPr>
            <w:tcW w:w="2791"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c>
          <w:tcPr>
            <w:tcW w:w="148"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c>
          <w:tcPr>
            <w:tcW w:w="163"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c>
          <w:tcPr>
            <w:tcW w:w="1188"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c>
          <w:tcPr>
            <w:tcW w:w="297"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c>
          <w:tcPr>
            <w:tcW w:w="809" w:type="dxa"/>
            <w:tcBorders>
              <w:top w:val="nil"/>
              <w:left w:val="nil"/>
              <w:bottom w:val="nil"/>
              <w:right w:val="nil"/>
            </w:tcBorders>
            <w:shd w:val="clear" w:color="auto" w:fill="8A9AA4"/>
            <w:vAlign w:val="center"/>
            <w:hideMark/>
          </w:tcPr>
          <w:p w:rsidR="005D53EA" w:rsidRPr="005D53EA" w:rsidRDefault="005D53EA" w:rsidP="005D53EA">
            <w:pPr>
              <w:jc w:val="both"/>
              <w:rPr>
                <w:sz w:val="28"/>
                <w:szCs w:val="28"/>
              </w:rPr>
            </w:pPr>
            <w:r w:rsidRPr="005D53EA">
              <w:rPr>
                <w:sz w:val="28"/>
                <w:szCs w:val="28"/>
              </w:rPr>
              <w:t> </w:t>
            </w:r>
          </w:p>
        </w:tc>
      </w:tr>
    </w:tbl>
    <w:p w:rsidR="005D53EA" w:rsidRPr="005D53EA" w:rsidRDefault="005D53EA" w:rsidP="005D53EA">
      <w:pPr>
        <w:jc w:val="both"/>
        <w:rPr>
          <w:sz w:val="28"/>
          <w:szCs w:val="28"/>
        </w:rPr>
      </w:pPr>
      <w:r w:rsidRPr="005D53EA">
        <w:rPr>
          <w:sz w:val="28"/>
          <w:szCs w:val="28"/>
        </w:rPr>
        <w:t> </w:t>
      </w:r>
    </w:p>
    <w:p w:rsidR="005D53EA" w:rsidRPr="005D53EA" w:rsidRDefault="005D53EA" w:rsidP="005D53EA">
      <w:pPr>
        <w:jc w:val="both"/>
        <w:rPr>
          <w:sz w:val="28"/>
          <w:szCs w:val="28"/>
        </w:rPr>
      </w:pPr>
      <w:r w:rsidRPr="005D53EA">
        <w:rPr>
          <w:sz w:val="28"/>
          <w:szCs w:val="28"/>
        </w:rPr>
        <w:t xml:space="preserve">О бюджете </w:t>
      </w:r>
      <w:proofErr w:type="spellStart"/>
      <w:r w:rsidRPr="005D53EA">
        <w:rPr>
          <w:sz w:val="28"/>
          <w:szCs w:val="28"/>
        </w:rPr>
        <w:t>Солецкого</w:t>
      </w:r>
      <w:proofErr w:type="spellEnd"/>
      <w:r w:rsidRPr="005D53EA">
        <w:rPr>
          <w:sz w:val="28"/>
          <w:szCs w:val="28"/>
        </w:rPr>
        <w:t xml:space="preserve"> муниципального района</w:t>
      </w:r>
    </w:p>
    <w:p w:rsidR="005D53EA" w:rsidRPr="005D53EA" w:rsidRDefault="005D53EA" w:rsidP="005D53EA">
      <w:pPr>
        <w:jc w:val="both"/>
        <w:rPr>
          <w:sz w:val="28"/>
          <w:szCs w:val="28"/>
        </w:rPr>
      </w:pPr>
      <w:r w:rsidRPr="005D53EA">
        <w:rPr>
          <w:sz w:val="28"/>
          <w:szCs w:val="28"/>
        </w:rPr>
        <w:t>на 2021 год и на плановый период 2022 и 2023 годов</w:t>
      </w:r>
    </w:p>
    <w:tbl>
      <w:tblPr>
        <w:tblW w:w="3496" w:type="dxa"/>
        <w:shd w:val="clear" w:color="auto" w:fill="8A9AA4"/>
        <w:tblCellMar>
          <w:top w:w="15" w:type="dxa"/>
          <w:left w:w="15" w:type="dxa"/>
          <w:bottom w:w="15" w:type="dxa"/>
          <w:right w:w="15" w:type="dxa"/>
        </w:tblCellMar>
        <w:tblLook w:val="04A0"/>
      </w:tblPr>
      <w:tblGrid>
        <w:gridCol w:w="1789"/>
        <w:gridCol w:w="4767"/>
        <w:gridCol w:w="2362"/>
      </w:tblGrid>
      <w:tr w:rsidR="005D53EA" w:rsidRPr="005D53EA" w:rsidTr="005D53EA">
        <w:tc>
          <w:tcPr>
            <w:tcW w:w="1180" w:type="dxa"/>
            <w:tcBorders>
              <w:top w:val="single" w:sz="6" w:space="0" w:color="000000"/>
              <w:left w:val="single" w:sz="6" w:space="0" w:color="000000"/>
              <w:bottom w:val="single" w:sz="6" w:space="0" w:color="000000"/>
              <w:right w:val="single" w:sz="6" w:space="0" w:color="000000"/>
            </w:tcBorders>
            <w:shd w:val="clear" w:color="auto" w:fill="8A9AA4"/>
            <w:tcMar>
              <w:top w:w="0" w:type="dxa"/>
              <w:left w:w="52" w:type="dxa"/>
              <w:bottom w:w="0" w:type="dxa"/>
              <w:right w:w="52" w:type="dxa"/>
            </w:tcMar>
            <w:vAlign w:val="center"/>
            <w:hideMark/>
          </w:tcPr>
          <w:p w:rsidR="005D53EA" w:rsidRPr="005D53EA" w:rsidRDefault="005D53EA" w:rsidP="005D53EA">
            <w:pPr>
              <w:jc w:val="both"/>
              <w:rPr>
                <w:sz w:val="28"/>
                <w:szCs w:val="28"/>
              </w:rPr>
            </w:pPr>
            <w:r w:rsidRPr="005D53EA">
              <w:rPr>
                <w:sz w:val="28"/>
                <w:szCs w:val="28"/>
              </w:rPr>
              <w:t>Дата</w:t>
            </w:r>
            <w:r w:rsidRPr="005D53EA">
              <w:rPr>
                <w:sz w:val="28"/>
                <w:szCs w:val="28"/>
              </w:rPr>
              <w:br/>
              <w:t>поступления</w:t>
            </w:r>
            <w:r w:rsidRPr="005D53EA">
              <w:rPr>
                <w:sz w:val="28"/>
                <w:szCs w:val="28"/>
              </w:rPr>
              <w:br/>
              <w:t>на согласование,</w:t>
            </w:r>
            <w:r w:rsidRPr="005D53EA">
              <w:rPr>
                <w:sz w:val="28"/>
                <w:szCs w:val="28"/>
              </w:rPr>
              <w:br/>
              <w:t>подпись</w:t>
            </w:r>
          </w:p>
        </w:tc>
        <w:tc>
          <w:tcPr>
            <w:tcW w:w="1767" w:type="dxa"/>
            <w:tcBorders>
              <w:top w:val="single" w:sz="6" w:space="0" w:color="000000"/>
              <w:left w:val="nil"/>
              <w:bottom w:val="single" w:sz="6" w:space="0" w:color="000000"/>
              <w:right w:val="single" w:sz="6" w:space="0" w:color="000000"/>
            </w:tcBorders>
            <w:shd w:val="clear" w:color="auto" w:fill="8A9AA4"/>
            <w:tcMar>
              <w:top w:w="0" w:type="dxa"/>
              <w:left w:w="52" w:type="dxa"/>
              <w:bottom w:w="0" w:type="dxa"/>
              <w:right w:w="52" w:type="dxa"/>
            </w:tcMar>
            <w:vAlign w:val="center"/>
            <w:hideMark/>
          </w:tcPr>
          <w:p w:rsidR="005D53EA" w:rsidRPr="005D53EA" w:rsidRDefault="005D53EA" w:rsidP="005D53EA">
            <w:pPr>
              <w:jc w:val="both"/>
              <w:rPr>
                <w:sz w:val="28"/>
                <w:szCs w:val="28"/>
              </w:rPr>
            </w:pPr>
            <w:r w:rsidRPr="005D53EA">
              <w:rPr>
                <w:sz w:val="28"/>
                <w:szCs w:val="28"/>
              </w:rPr>
              <w:t>Наименование должности, инициалы</w:t>
            </w:r>
            <w:r w:rsidRPr="005D53EA">
              <w:rPr>
                <w:sz w:val="28"/>
                <w:szCs w:val="28"/>
              </w:rPr>
              <w:br/>
              <w:t>и фамилия руководителя, с которым</w:t>
            </w:r>
            <w:r w:rsidRPr="005D53EA">
              <w:rPr>
                <w:sz w:val="28"/>
                <w:szCs w:val="28"/>
              </w:rPr>
              <w:br/>
              <w:t>согласуется проект документа</w:t>
            </w:r>
          </w:p>
        </w:tc>
        <w:tc>
          <w:tcPr>
            <w:tcW w:w="245" w:type="dxa"/>
            <w:tcBorders>
              <w:top w:val="single" w:sz="6" w:space="0" w:color="000000"/>
              <w:left w:val="nil"/>
              <w:bottom w:val="single" w:sz="6" w:space="0" w:color="000000"/>
              <w:right w:val="single" w:sz="6" w:space="0" w:color="000000"/>
            </w:tcBorders>
            <w:shd w:val="clear" w:color="auto" w:fill="8A9AA4"/>
            <w:tcMar>
              <w:top w:w="0" w:type="dxa"/>
              <w:left w:w="52" w:type="dxa"/>
              <w:bottom w:w="0" w:type="dxa"/>
              <w:right w:w="52" w:type="dxa"/>
            </w:tcMar>
            <w:vAlign w:val="center"/>
            <w:hideMark/>
          </w:tcPr>
          <w:p w:rsidR="005D53EA" w:rsidRPr="005D53EA" w:rsidRDefault="005D53EA" w:rsidP="005D53EA">
            <w:pPr>
              <w:jc w:val="both"/>
              <w:rPr>
                <w:sz w:val="28"/>
                <w:szCs w:val="28"/>
              </w:rPr>
            </w:pPr>
            <w:r w:rsidRPr="005D53EA">
              <w:rPr>
                <w:sz w:val="28"/>
                <w:szCs w:val="28"/>
              </w:rPr>
              <w:t>Дата и номер документа,  подтверждающего</w:t>
            </w:r>
            <w:r w:rsidRPr="005D53EA">
              <w:rPr>
                <w:sz w:val="28"/>
                <w:szCs w:val="28"/>
              </w:rPr>
              <w:br/>
              <w:t>согласование, или дата</w:t>
            </w:r>
            <w:r w:rsidRPr="005D53EA">
              <w:rPr>
                <w:sz w:val="28"/>
                <w:szCs w:val="28"/>
              </w:rPr>
              <w:br/>
              <w:t>согласования, подпись</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Первый заместитель Главы администрации:  Ю.Н. </w:t>
            </w:r>
            <w:proofErr w:type="spellStart"/>
            <w:r w:rsidRPr="005D53EA">
              <w:rPr>
                <w:sz w:val="28"/>
                <w:szCs w:val="28"/>
              </w:rPr>
              <w:t>Дуничев</w:t>
            </w:r>
            <w:proofErr w:type="spellEnd"/>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Заместитель Главы администраци</w:t>
            </w:r>
            <w:proofErr w:type="gramStart"/>
            <w:r w:rsidRPr="005D53EA">
              <w:rPr>
                <w:sz w:val="28"/>
                <w:szCs w:val="28"/>
              </w:rPr>
              <w:t>и-</w:t>
            </w:r>
            <w:proofErr w:type="gramEnd"/>
            <w:r w:rsidRPr="005D53EA">
              <w:rPr>
                <w:sz w:val="28"/>
                <w:szCs w:val="28"/>
              </w:rPr>
              <w:t xml:space="preserve">   Т.А. </w:t>
            </w:r>
            <w:proofErr w:type="spellStart"/>
            <w:r w:rsidRPr="005D53EA">
              <w:rPr>
                <w:sz w:val="28"/>
                <w:szCs w:val="28"/>
              </w:rPr>
              <w:t>Миронычева</w:t>
            </w:r>
            <w:proofErr w:type="spellEnd"/>
            <w:r w:rsidRPr="005D53EA">
              <w:rPr>
                <w:sz w:val="28"/>
                <w:szCs w:val="28"/>
              </w:rPr>
              <w:t>                                                 </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Заместитель главы администрации - Ю.В.Михайлова</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Заведующая отделом образования  и спорта Администрации муниципального района </w:t>
            </w:r>
            <w:proofErr w:type="gramStart"/>
            <w:r w:rsidRPr="005D53EA">
              <w:rPr>
                <w:sz w:val="28"/>
                <w:szCs w:val="28"/>
              </w:rPr>
              <w:t>:</w:t>
            </w:r>
            <w:proofErr w:type="spellStart"/>
            <w:r w:rsidRPr="005D53EA">
              <w:rPr>
                <w:sz w:val="28"/>
                <w:szCs w:val="28"/>
              </w:rPr>
              <w:t>Т</w:t>
            </w:r>
            <w:proofErr w:type="gramEnd"/>
            <w:r w:rsidRPr="005D53EA">
              <w:rPr>
                <w:sz w:val="28"/>
                <w:szCs w:val="28"/>
              </w:rPr>
              <w:t>.Е.Кирышева</w:t>
            </w:r>
            <w:proofErr w:type="spellEnd"/>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Заведующая отделом по ЖКХ, дорожному строительству и транспорту Администрации муниципального района</w:t>
            </w:r>
            <w:proofErr w:type="gramStart"/>
            <w:r w:rsidRPr="005D53EA">
              <w:rPr>
                <w:sz w:val="28"/>
                <w:szCs w:val="28"/>
              </w:rPr>
              <w:t xml:space="preserve"> :</w:t>
            </w:r>
            <w:proofErr w:type="gramEnd"/>
            <w:r w:rsidRPr="005D53EA">
              <w:rPr>
                <w:sz w:val="28"/>
                <w:szCs w:val="28"/>
              </w:rPr>
              <w:t xml:space="preserve"> </w:t>
            </w:r>
            <w:proofErr w:type="spellStart"/>
            <w:r w:rsidRPr="005D53EA">
              <w:rPr>
                <w:sz w:val="28"/>
                <w:szCs w:val="28"/>
              </w:rPr>
              <w:lastRenderedPageBreak/>
              <w:t>Е.Н.Качанович</w:t>
            </w:r>
            <w:proofErr w:type="spellEnd"/>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lastRenderedPageBreak/>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lastRenderedPageBreak/>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Заведующая отделом имущественных и земельных отношений Администрации муниципального района </w:t>
            </w:r>
            <w:proofErr w:type="gramStart"/>
            <w:r w:rsidRPr="005D53EA">
              <w:rPr>
                <w:sz w:val="28"/>
                <w:szCs w:val="28"/>
              </w:rPr>
              <w:t>:О</w:t>
            </w:r>
            <w:proofErr w:type="gramEnd"/>
            <w:r w:rsidRPr="005D53EA">
              <w:rPr>
                <w:sz w:val="28"/>
                <w:szCs w:val="28"/>
              </w:rPr>
              <w:t>.В.Дудко</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Председатель комитета  по экономике, инвестициям и сельскому хозяйству Администрации муниципального района: Л.С.Плаксина</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Заведующая отделом культуры и молодежной политики Администрации муниципального района Н.В.Левашова.</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Ведущий специалист – юрист юридического отдела Администрации  муниципального района: Ю.С.Емельянова</w:t>
            </w:r>
            <w:r w:rsidRPr="005D53EA">
              <w:rPr>
                <w:sz w:val="28"/>
                <w:szCs w:val="28"/>
              </w:rPr>
              <w:br/>
              <w:t> </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Заведующая отделом градостроительства и благоустройства Администрации муниципального района: И.А.Колесникова</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Заведующая отделом бухгалтерского учета Администрации муниципального района: </w:t>
            </w:r>
            <w:proofErr w:type="spellStart"/>
            <w:r w:rsidRPr="005D53EA">
              <w:rPr>
                <w:sz w:val="28"/>
                <w:szCs w:val="28"/>
              </w:rPr>
              <w:t>В.В.Шветова</w:t>
            </w:r>
            <w:proofErr w:type="spellEnd"/>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Заведующая архивным отделом Администрации муниципального района: </w:t>
            </w:r>
            <w:proofErr w:type="spellStart"/>
            <w:r w:rsidRPr="005D53EA">
              <w:rPr>
                <w:sz w:val="28"/>
                <w:szCs w:val="28"/>
              </w:rPr>
              <w:t>К.Н.Быстрова</w:t>
            </w:r>
            <w:proofErr w:type="spellEnd"/>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r>
      <w:tr w:rsidR="005D53EA" w:rsidRPr="005D53EA" w:rsidTr="005D53EA">
        <w:tc>
          <w:tcPr>
            <w:tcW w:w="1180" w:type="dxa"/>
            <w:tcBorders>
              <w:top w:val="nil"/>
              <w:left w:val="single" w:sz="6" w:space="0" w:color="000000"/>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w:t>
            </w:r>
          </w:p>
        </w:tc>
        <w:tc>
          <w:tcPr>
            <w:tcW w:w="1767"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t xml:space="preserve">Заведующая отделом по организационным и общим вопросам Администрации муниципального </w:t>
            </w:r>
            <w:r w:rsidRPr="005D53EA">
              <w:rPr>
                <w:sz w:val="28"/>
                <w:szCs w:val="28"/>
              </w:rPr>
              <w:lastRenderedPageBreak/>
              <w:t>района: А.С.Семёнова</w:t>
            </w:r>
          </w:p>
        </w:tc>
        <w:tc>
          <w:tcPr>
            <w:tcW w:w="245" w:type="dxa"/>
            <w:tcBorders>
              <w:top w:val="nil"/>
              <w:left w:val="nil"/>
              <w:bottom w:val="single" w:sz="6" w:space="0" w:color="000000"/>
              <w:right w:val="single" w:sz="6" w:space="0" w:color="000000"/>
            </w:tcBorders>
            <w:shd w:val="clear" w:color="auto" w:fill="8A9AA4"/>
            <w:tcMar>
              <w:top w:w="0" w:type="dxa"/>
              <w:left w:w="52" w:type="dxa"/>
              <w:bottom w:w="0" w:type="dxa"/>
              <w:right w:w="52" w:type="dxa"/>
            </w:tcMar>
            <w:hideMark/>
          </w:tcPr>
          <w:p w:rsidR="005D53EA" w:rsidRPr="005D53EA" w:rsidRDefault="005D53EA" w:rsidP="005D53EA">
            <w:pPr>
              <w:jc w:val="both"/>
              <w:rPr>
                <w:sz w:val="28"/>
                <w:szCs w:val="28"/>
              </w:rPr>
            </w:pPr>
            <w:r w:rsidRPr="005D53EA">
              <w:rPr>
                <w:sz w:val="28"/>
                <w:szCs w:val="28"/>
              </w:rPr>
              <w:lastRenderedPageBreak/>
              <w:t> </w:t>
            </w:r>
          </w:p>
        </w:tc>
      </w:tr>
    </w:tbl>
    <w:p w:rsidR="005D53EA" w:rsidRPr="005D53EA" w:rsidRDefault="005D53EA" w:rsidP="005D53EA">
      <w:pPr>
        <w:jc w:val="both"/>
        <w:rPr>
          <w:sz w:val="28"/>
          <w:szCs w:val="28"/>
        </w:rPr>
      </w:pPr>
      <w:r w:rsidRPr="005D53EA">
        <w:rPr>
          <w:sz w:val="28"/>
          <w:szCs w:val="28"/>
        </w:rPr>
        <w:lastRenderedPageBreak/>
        <w:t> </w:t>
      </w:r>
    </w:p>
    <w:p w:rsidR="008F12EB" w:rsidRPr="005D53EA" w:rsidRDefault="008F12EB" w:rsidP="005D53EA">
      <w:pPr>
        <w:jc w:val="both"/>
        <w:rPr>
          <w:sz w:val="28"/>
          <w:szCs w:val="28"/>
        </w:rPr>
      </w:pPr>
    </w:p>
    <w:sectPr w:rsidR="008F12EB" w:rsidRPr="005D53EA" w:rsidSect="008F1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7E9D"/>
    <w:multiLevelType w:val="multilevel"/>
    <w:tmpl w:val="9DB827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822EF"/>
    <w:rsid w:val="00091A69"/>
    <w:rsid w:val="000A02C2"/>
    <w:rsid w:val="000A5B81"/>
    <w:rsid w:val="0010293D"/>
    <w:rsid w:val="001B62CC"/>
    <w:rsid w:val="002822EF"/>
    <w:rsid w:val="002A26EE"/>
    <w:rsid w:val="002C594E"/>
    <w:rsid w:val="00320F0E"/>
    <w:rsid w:val="0034487F"/>
    <w:rsid w:val="003A224B"/>
    <w:rsid w:val="003C0654"/>
    <w:rsid w:val="004416E9"/>
    <w:rsid w:val="00447161"/>
    <w:rsid w:val="004B0B86"/>
    <w:rsid w:val="004B4768"/>
    <w:rsid w:val="004C4F6A"/>
    <w:rsid w:val="004C50E2"/>
    <w:rsid w:val="005043EF"/>
    <w:rsid w:val="00515EBD"/>
    <w:rsid w:val="00562866"/>
    <w:rsid w:val="005800FC"/>
    <w:rsid w:val="00585986"/>
    <w:rsid w:val="005B0AC8"/>
    <w:rsid w:val="005C140B"/>
    <w:rsid w:val="005D53EA"/>
    <w:rsid w:val="005E1DFB"/>
    <w:rsid w:val="006A0616"/>
    <w:rsid w:val="00725099"/>
    <w:rsid w:val="00761457"/>
    <w:rsid w:val="007E62BA"/>
    <w:rsid w:val="008A2996"/>
    <w:rsid w:val="008D19BB"/>
    <w:rsid w:val="008E4122"/>
    <w:rsid w:val="008F12EB"/>
    <w:rsid w:val="00945B56"/>
    <w:rsid w:val="00966EFA"/>
    <w:rsid w:val="00972245"/>
    <w:rsid w:val="009727BD"/>
    <w:rsid w:val="009D4468"/>
    <w:rsid w:val="009D577B"/>
    <w:rsid w:val="00AC792D"/>
    <w:rsid w:val="00AD39C4"/>
    <w:rsid w:val="00B92E36"/>
    <w:rsid w:val="00BF1239"/>
    <w:rsid w:val="00C15CCF"/>
    <w:rsid w:val="00C60D63"/>
    <w:rsid w:val="00C633F5"/>
    <w:rsid w:val="00C65BF0"/>
    <w:rsid w:val="00C844A7"/>
    <w:rsid w:val="00C87E07"/>
    <w:rsid w:val="00D202FD"/>
    <w:rsid w:val="00D50F24"/>
    <w:rsid w:val="00D65006"/>
    <w:rsid w:val="00DE3E96"/>
    <w:rsid w:val="00E11104"/>
    <w:rsid w:val="00E62882"/>
    <w:rsid w:val="00E72FE6"/>
    <w:rsid w:val="00E73489"/>
    <w:rsid w:val="00EB5BD0"/>
    <w:rsid w:val="00EB646B"/>
    <w:rsid w:val="00ED50CE"/>
    <w:rsid w:val="00F00E94"/>
    <w:rsid w:val="00FA5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2EB"/>
  </w:style>
  <w:style w:type="paragraph" w:styleId="4">
    <w:name w:val="heading 4"/>
    <w:basedOn w:val="a"/>
    <w:link w:val="40"/>
    <w:uiPriority w:val="9"/>
    <w:qFormat/>
    <w:rsid w:val="00C633F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822EF"/>
    <w:rPr>
      <w:color w:val="0000FF"/>
      <w:u w:val="single"/>
    </w:rPr>
  </w:style>
  <w:style w:type="paragraph" w:customStyle="1" w:styleId="consplusnormal">
    <w:name w:val="consplusnormal"/>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282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3A2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3A224B"/>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4487F"/>
    <w:pPr>
      <w:spacing w:after="120"/>
      <w:ind w:left="283"/>
    </w:pPr>
  </w:style>
  <w:style w:type="character" w:customStyle="1" w:styleId="a8">
    <w:name w:val="Основной текст с отступом Знак"/>
    <w:basedOn w:val="a0"/>
    <w:link w:val="a7"/>
    <w:uiPriority w:val="99"/>
    <w:semiHidden/>
    <w:rsid w:val="0034487F"/>
  </w:style>
  <w:style w:type="paragraph" w:styleId="2">
    <w:name w:val="Body Text 2"/>
    <w:basedOn w:val="a"/>
    <w:link w:val="20"/>
    <w:uiPriority w:val="99"/>
    <w:semiHidden/>
    <w:unhideWhenUsed/>
    <w:rsid w:val="0034487F"/>
    <w:pPr>
      <w:spacing w:after="120" w:line="480" w:lineRule="auto"/>
    </w:pPr>
  </w:style>
  <w:style w:type="character" w:customStyle="1" w:styleId="20">
    <w:name w:val="Основной текст 2 Знак"/>
    <w:basedOn w:val="a0"/>
    <w:link w:val="2"/>
    <w:uiPriority w:val="99"/>
    <w:semiHidden/>
    <w:rsid w:val="0034487F"/>
  </w:style>
  <w:style w:type="character" w:customStyle="1" w:styleId="40">
    <w:name w:val="Заголовок 4 Знак"/>
    <w:basedOn w:val="a0"/>
    <w:link w:val="4"/>
    <w:uiPriority w:val="9"/>
    <w:rsid w:val="00C633F5"/>
    <w:rPr>
      <w:rFonts w:ascii="Times New Roman" w:eastAsia="Times New Roman" w:hAnsi="Times New Roman" w:cs="Times New Roman"/>
      <w:b/>
      <w:bCs/>
      <w:sz w:val="24"/>
      <w:szCs w:val="24"/>
      <w:lang w:eastAsia="ru-RU"/>
    </w:rPr>
  </w:style>
  <w:style w:type="paragraph" w:customStyle="1" w:styleId="a9">
    <w:name w:val="a"/>
    <w:basedOn w:val="a"/>
    <w:rsid w:val="00C63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C633F5"/>
    <w:rPr>
      <w:b/>
      <w:bCs/>
    </w:rPr>
  </w:style>
</w:styles>
</file>

<file path=word/webSettings.xml><?xml version="1.0" encoding="utf-8"?>
<w:webSettings xmlns:r="http://schemas.openxmlformats.org/officeDocument/2006/relationships" xmlns:w="http://schemas.openxmlformats.org/wordprocessingml/2006/main">
  <w:divs>
    <w:div w:id="411783375">
      <w:bodyDiv w:val="1"/>
      <w:marLeft w:val="0"/>
      <w:marRight w:val="0"/>
      <w:marTop w:val="0"/>
      <w:marBottom w:val="0"/>
      <w:divBdr>
        <w:top w:val="none" w:sz="0" w:space="0" w:color="auto"/>
        <w:left w:val="none" w:sz="0" w:space="0" w:color="auto"/>
        <w:bottom w:val="none" w:sz="0" w:space="0" w:color="auto"/>
        <w:right w:val="none" w:sz="0" w:space="0" w:color="auto"/>
      </w:divBdr>
    </w:div>
    <w:div w:id="419520538">
      <w:bodyDiv w:val="1"/>
      <w:marLeft w:val="0"/>
      <w:marRight w:val="0"/>
      <w:marTop w:val="0"/>
      <w:marBottom w:val="0"/>
      <w:divBdr>
        <w:top w:val="none" w:sz="0" w:space="0" w:color="auto"/>
        <w:left w:val="none" w:sz="0" w:space="0" w:color="auto"/>
        <w:bottom w:val="none" w:sz="0" w:space="0" w:color="auto"/>
        <w:right w:val="none" w:sz="0" w:space="0" w:color="auto"/>
      </w:divBdr>
    </w:div>
    <w:div w:id="501893132">
      <w:bodyDiv w:val="1"/>
      <w:marLeft w:val="0"/>
      <w:marRight w:val="0"/>
      <w:marTop w:val="0"/>
      <w:marBottom w:val="0"/>
      <w:divBdr>
        <w:top w:val="none" w:sz="0" w:space="0" w:color="auto"/>
        <w:left w:val="none" w:sz="0" w:space="0" w:color="auto"/>
        <w:bottom w:val="none" w:sz="0" w:space="0" w:color="auto"/>
        <w:right w:val="none" w:sz="0" w:space="0" w:color="auto"/>
      </w:divBdr>
    </w:div>
    <w:div w:id="1067148160">
      <w:bodyDiv w:val="1"/>
      <w:marLeft w:val="0"/>
      <w:marRight w:val="0"/>
      <w:marTop w:val="0"/>
      <w:marBottom w:val="0"/>
      <w:divBdr>
        <w:top w:val="none" w:sz="0" w:space="0" w:color="auto"/>
        <w:left w:val="none" w:sz="0" w:space="0" w:color="auto"/>
        <w:bottom w:val="none" w:sz="0" w:space="0" w:color="auto"/>
        <w:right w:val="none" w:sz="0" w:space="0" w:color="auto"/>
      </w:divBdr>
    </w:div>
    <w:div w:id="1291786623">
      <w:bodyDiv w:val="1"/>
      <w:marLeft w:val="0"/>
      <w:marRight w:val="0"/>
      <w:marTop w:val="0"/>
      <w:marBottom w:val="0"/>
      <w:divBdr>
        <w:top w:val="none" w:sz="0" w:space="0" w:color="auto"/>
        <w:left w:val="none" w:sz="0" w:space="0" w:color="auto"/>
        <w:bottom w:val="none" w:sz="0" w:space="0" w:color="auto"/>
        <w:right w:val="none" w:sz="0" w:space="0" w:color="auto"/>
      </w:divBdr>
    </w:div>
    <w:div w:id="16184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2615</Words>
  <Characters>14906</Characters>
  <Application>Microsoft Office Word</Application>
  <DocSecurity>0</DocSecurity>
  <Lines>124</Lines>
  <Paragraphs>34</Paragraphs>
  <ScaleCrop>false</ScaleCrop>
  <Company/>
  <LinksUpToDate>false</LinksUpToDate>
  <CharactersWithSpaces>17487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Федотова</dc:creator>
  <cp:lastModifiedBy>Елизавета Федотова</cp:lastModifiedBy>
  <cp:revision>2</cp:revision>
  <dcterms:created xsi:type="dcterms:W3CDTF">2021-02-04T11:44:00Z</dcterms:created>
  <dcterms:modified xsi:type="dcterms:W3CDTF">2021-02-04T11:44:00Z</dcterms:modified>
</cp:coreProperties>
</file>