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03" w:rsidRDefault="00F96303">
      <w:pPr>
        <w:pStyle w:val="ConsPlusNormal"/>
        <w:spacing w:before="460"/>
        <w:rPr>
          <w:sz w:val="36"/>
          <w:szCs w:val="36"/>
        </w:rPr>
      </w:pPr>
      <w:r>
        <w:rPr>
          <w:b/>
          <w:bCs/>
          <w:sz w:val="36"/>
          <w:szCs w:val="36"/>
        </w:rPr>
        <w:t>Какие товары нельзя вернуть или обменять?</w:t>
      </w:r>
    </w:p>
    <w:p w:rsidR="00F96303" w:rsidRDefault="00F96303">
      <w:pPr>
        <w:pStyle w:val="ConsPlusNormal"/>
        <w:jc w:val="both"/>
        <w:rPr>
          <w:sz w:val="36"/>
          <w:szCs w:val="36"/>
        </w:rPr>
      </w:pPr>
    </w:p>
    <w:tbl>
      <w:tblPr>
        <w:tblW w:w="10207" w:type="dxa"/>
        <w:tblInd w:w="180" w:type="dxa"/>
        <w:tblLayout w:type="fixed"/>
        <w:tblCellMar>
          <w:top w:w="180" w:type="dxa"/>
          <w:left w:w="180" w:type="dxa"/>
          <w:bottom w:w="180" w:type="dxa"/>
          <w:right w:w="180" w:type="dxa"/>
        </w:tblCellMar>
        <w:tblLook w:val="0000"/>
      </w:tblPr>
      <w:tblGrid>
        <w:gridCol w:w="10207"/>
      </w:tblGrid>
      <w:tr w:rsidR="00F96303" w:rsidRPr="00B3060C">
        <w:tc>
          <w:tcPr>
            <w:tcW w:w="10207" w:type="dxa"/>
            <w:tcBorders>
              <w:left w:val="single" w:sz="24" w:space="0" w:color="FE9500"/>
            </w:tcBorders>
            <w:shd w:val="clear" w:color="auto" w:fill="F2F4E6"/>
          </w:tcPr>
          <w:p w:rsidR="00F96303" w:rsidRPr="00B3060C" w:rsidRDefault="00F96303">
            <w:pPr>
              <w:pStyle w:val="ConsPlusNormal"/>
              <w:jc w:val="both"/>
              <w:rPr>
                <w:rFonts w:eastAsiaTheme="minorEastAsia"/>
              </w:rPr>
            </w:pPr>
            <w:r w:rsidRPr="00B3060C">
              <w:rPr>
                <w:rFonts w:eastAsiaTheme="minorEastAsia"/>
              </w:rPr>
              <w:t>По общему правилу товары ненадлежащего качества можно вернуть или обменять, если по ним не истек срок предъявления требования. Нельзя вернуть, как правило, продовольственные товары надлежащего качества, а также некоторые непродовольственные товары надлежащего качества.</w:t>
            </w:r>
          </w:p>
        </w:tc>
      </w:tr>
    </w:tbl>
    <w:p w:rsidR="00F96303" w:rsidRDefault="00F96303">
      <w:pPr>
        <w:pStyle w:val="ConsPlusNormal"/>
        <w:spacing w:before="380"/>
        <w:jc w:val="both"/>
        <w:rPr>
          <w:sz w:val="30"/>
          <w:szCs w:val="30"/>
        </w:rPr>
      </w:pPr>
    </w:p>
    <w:p w:rsidR="00F96303" w:rsidRDefault="00F96303">
      <w:pPr>
        <w:pStyle w:val="ConsPlusNormal"/>
        <w:outlineLvl w:val="0"/>
        <w:rPr>
          <w:sz w:val="30"/>
          <w:szCs w:val="30"/>
        </w:rPr>
      </w:pPr>
      <w:r>
        <w:rPr>
          <w:b/>
          <w:bCs/>
          <w:sz w:val="30"/>
          <w:szCs w:val="30"/>
        </w:rPr>
        <w:t>Возврат и обмен товаров</w:t>
      </w:r>
    </w:p>
    <w:p w:rsidR="00F96303" w:rsidRDefault="00F96303">
      <w:pPr>
        <w:pStyle w:val="ConsPlusNormal"/>
        <w:spacing w:before="200"/>
        <w:jc w:val="both"/>
      </w:pPr>
      <w:r>
        <w:t>Любые товары ненадлежащего качества (как продовольственные, так и непродовольственные) можно вернуть или обменять при условии, что не истек срок предъявления требования по недостаткам товара.</w:t>
      </w:r>
    </w:p>
    <w:p w:rsidR="00F96303" w:rsidRDefault="00F96303">
      <w:pPr>
        <w:pStyle w:val="ConsPlusNormal"/>
        <w:spacing w:before="200"/>
        <w:jc w:val="both"/>
      </w:pPr>
      <w:r>
        <w:t>При соблюдении определенных условий вы также вправе обменять непродовольственный товар надлежащего качества на аналогичный, если он не подошел по форме, габаритам, фасону, расцветке, размеру или комплектации, или вернуть такой товар. Продовольственные товары надлежащего качества по данным основаниям обменять или вернуть нельзя.</w:t>
      </w:r>
    </w:p>
    <w:p w:rsidR="00F96303" w:rsidRDefault="00F96303">
      <w:pPr>
        <w:pStyle w:val="ConsPlusNormal"/>
        <w:spacing w:before="200"/>
        <w:jc w:val="both"/>
      </w:pPr>
      <w:r>
        <w:t>Однако из этого правила есть исключение: некоторые непродовольственные товары возврату и обмену не подлежат (</w:t>
      </w:r>
      <w:hyperlink r:id="rId7" w:tooltip="&quot;Гражданский кодекс Российской Федерации (часть вторая)&quot; от 26.01.1996 N 14-ФЗ (ред. от 27.12.2019, с изм. от 28.04.2020){КонсультантПлюс}" w:history="1">
        <w:r>
          <w:rPr>
            <w:color w:val="0000FF"/>
          </w:rPr>
          <w:t>п. 1 ст. 502</w:t>
        </w:r>
      </w:hyperlink>
      <w:r>
        <w:t xml:space="preserve"> ГК РФ; </w:t>
      </w:r>
      <w:hyperlink r:id="rId8" w:tooltip="Закон РФ от 07.02.1992 N 2300-1 (ред. от 08.12.2020) &quot;О защите прав потребителей&quot;{КонсультантПлюс}" w:history="1">
        <w:r>
          <w:rPr>
            <w:color w:val="0000FF"/>
          </w:rPr>
          <w:t>п. 1 ст. 18</w:t>
        </w:r>
      </w:hyperlink>
      <w:r>
        <w:t xml:space="preserve">, </w:t>
      </w:r>
      <w:hyperlink r:id="rId9" w:tooltip="Закон РФ от 07.02.1992 N 2300-1 (ред. от 08.12.2020) &quot;О защите прав потребителей&quot;{КонсультантПлюс}" w:history="1">
        <w:r>
          <w:rPr>
            <w:color w:val="0000FF"/>
          </w:rPr>
          <w:t>ст. 25</w:t>
        </w:r>
      </w:hyperlink>
      <w:r>
        <w:t xml:space="preserve"> Закона от 07.02.1992 N 2300-1; </w:t>
      </w:r>
      <w:hyperlink r:id="rId10"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history="1">
        <w:r>
          <w:rPr>
            <w:color w:val="0000FF"/>
          </w:rPr>
          <w:t>Перечень</w:t>
        </w:r>
      </w:hyperlink>
      <w:r>
        <w:t>, утв. Постановлением Правительства РФ от 31.12.2020 N 2463).</w:t>
      </w:r>
    </w:p>
    <w:p w:rsidR="00F96303" w:rsidRDefault="00F96303">
      <w:pPr>
        <w:pStyle w:val="ConsPlusNormal"/>
        <w:spacing w:before="200"/>
        <w:jc w:val="both"/>
      </w:pPr>
      <w:r>
        <w:t>Кроме того, возврат товара возможен, если вам не была предоставлена возможность незамедлительно получить при заключении договора информацию о товаре (</w:t>
      </w:r>
      <w:hyperlink r:id="rId11" w:tooltip="Закон РФ от 07.02.1992 N 2300-1 (ред. от 08.12.2020) &quot;О защите прав потребителей&quot;{КонсультантПлюс}" w:history="1">
        <w:r>
          <w:rPr>
            <w:color w:val="0000FF"/>
          </w:rPr>
          <w:t>п. 1 ст. 12</w:t>
        </w:r>
      </w:hyperlink>
      <w:r>
        <w:t xml:space="preserve"> Закона N 2300-1).</w:t>
      </w:r>
    </w:p>
    <w:p w:rsidR="00F96303" w:rsidRDefault="00F96303">
      <w:pPr>
        <w:pStyle w:val="ConsPlusNormal"/>
        <w:spacing w:before="200"/>
        <w:jc w:val="both"/>
      </w:pPr>
      <w:r>
        <w:t>Вопрос о возможности возврата или обмена товаров, приобретенных дистанционно, в настоящем материале не рассматривается.</w:t>
      </w:r>
    </w:p>
    <w:p w:rsidR="00F96303" w:rsidRDefault="00F96303">
      <w:pPr>
        <w:pStyle w:val="ConsPlusNormal"/>
        <w:spacing w:before="300"/>
        <w:jc w:val="both"/>
        <w:rPr>
          <w:sz w:val="30"/>
          <w:szCs w:val="30"/>
        </w:rPr>
      </w:pPr>
    </w:p>
    <w:p w:rsidR="00F96303" w:rsidRDefault="00F96303">
      <w:pPr>
        <w:pStyle w:val="ConsPlusNormal"/>
        <w:outlineLvl w:val="0"/>
        <w:rPr>
          <w:sz w:val="30"/>
          <w:szCs w:val="30"/>
        </w:rPr>
      </w:pPr>
      <w:r>
        <w:rPr>
          <w:b/>
          <w:bCs/>
          <w:sz w:val="30"/>
          <w:szCs w:val="30"/>
        </w:rPr>
        <w:t>Товары ненадлежащего качества, не подлежащие возврату или обмену</w:t>
      </w:r>
    </w:p>
    <w:p w:rsidR="00F96303" w:rsidRDefault="00F96303">
      <w:pPr>
        <w:pStyle w:val="ConsPlusNormal"/>
        <w:spacing w:before="200"/>
        <w:jc w:val="both"/>
      </w:pPr>
      <w:r>
        <w:t>Если вы пропустили срок предъявления требования по недостаткам товара, товар ненадлежащего качества возврату или обмену не подлежит.</w:t>
      </w:r>
    </w:p>
    <w:p w:rsidR="00F96303" w:rsidRDefault="00F96303">
      <w:pPr>
        <w:pStyle w:val="ConsPlusNormal"/>
        <w:spacing w:before="200"/>
        <w:jc w:val="both"/>
      </w:pPr>
      <w:r>
        <w:t>По общему правилу вы вправе предъявить требование о возврате уплаченной за некачественный товар суммы или его обмене в течение гарантийного срока или срока годности товара, а если он не установлен, то в разумный срок, но в пределах двух лет со дня передачи вам товара. В последнем случае более длительные сроки могут быть установлены законом или договором (</w:t>
      </w:r>
      <w:hyperlink r:id="rId12" w:tooltip="Закон РФ от 07.02.1992 N 2300-1 (ред. от 08.12.2020) &quot;О защите прав потребителей&quot;{КонсультантПлюс}" w:history="1">
        <w:r>
          <w:rPr>
            <w:color w:val="0000FF"/>
          </w:rPr>
          <w:t>п. 1 ст. 19</w:t>
        </w:r>
      </w:hyperlink>
      <w:r>
        <w:t xml:space="preserve"> Закона N 2300-1).</w:t>
      </w:r>
    </w:p>
    <w:p w:rsidR="00F96303" w:rsidRDefault="00F96303">
      <w:pPr>
        <w:pStyle w:val="ConsPlusNormal"/>
        <w:spacing w:before="300"/>
        <w:jc w:val="both"/>
        <w:rPr>
          <w:sz w:val="30"/>
          <w:szCs w:val="30"/>
        </w:rPr>
      </w:pPr>
    </w:p>
    <w:p w:rsidR="00F96303" w:rsidRDefault="00F96303">
      <w:pPr>
        <w:pStyle w:val="ConsPlusNormal"/>
        <w:outlineLvl w:val="0"/>
        <w:rPr>
          <w:sz w:val="30"/>
          <w:szCs w:val="30"/>
        </w:rPr>
      </w:pPr>
      <w:r>
        <w:rPr>
          <w:b/>
          <w:bCs/>
          <w:sz w:val="30"/>
          <w:szCs w:val="30"/>
        </w:rPr>
        <w:t>Непродовольственные товары надлежащего качества, не подлежащие возврату или обмену</w:t>
      </w:r>
    </w:p>
    <w:p w:rsidR="00F96303" w:rsidRDefault="00F96303">
      <w:pPr>
        <w:pStyle w:val="ConsPlusNormal"/>
        <w:spacing w:before="200"/>
        <w:jc w:val="both"/>
      </w:pPr>
      <w:r>
        <w:t>Не подлежат обмену следующие непродовольственные товары надлежащего качества (</w:t>
      </w:r>
      <w:hyperlink r:id="rId13"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history="1">
        <w:r>
          <w:rPr>
            <w:color w:val="0000FF"/>
          </w:rPr>
          <w:t>Перечень</w:t>
        </w:r>
      </w:hyperlink>
      <w:r>
        <w:t>, утв. Постановлением Правительства РФ N 2463):</w:t>
      </w:r>
    </w:p>
    <w:p w:rsidR="00F96303" w:rsidRDefault="00F96303">
      <w:pPr>
        <w:pStyle w:val="ConsPlusNormal"/>
        <w:numPr>
          <w:ilvl w:val="0"/>
          <w:numId w:val="1"/>
        </w:numPr>
        <w:tabs>
          <w:tab w:val="left" w:pos="540"/>
        </w:tabs>
        <w:spacing w:before="200"/>
        <w:jc w:val="both"/>
      </w:pPr>
      <w:r>
        <w:t xml:space="preserve">Товары для профилактики и лечения заболеваний в домашних условиях (предметы санитарии и </w:t>
      </w:r>
      <w:r>
        <w:lastRenderedPageBreak/>
        <w:t>гигиены; медицинские изделия; средства гигиены полости рта; линзы очковые; предметы по уходу за детьми), лекарственные препараты.</w:t>
      </w:r>
    </w:p>
    <w:p w:rsidR="00F96303" w:rsidRDefault="00F96303">
      <w:pPr>
        <w:pStyle w:val="ConsPlusNormal"/>
        <w:numPr>
          <w:ilvl w:val="0"/>
          <w:numId w:val="1"/>
        </w:numPr>
        <w:tabs>
          <w:tab w:val="left" w:pos="540"/>
        </w:tabs>
        <w:spacing w:before="200"/>
        <w:jc w:val="both"/>
      </w:pPr>
      <w:r>
        <w:t>Предметы личной гигиены (зубные щетки, расчески, заколки, бигуди для волос, парики, шиньоны и другие аналогичные товары).</w:t>
      </w:r>
    </w:p>
    <w:p w:rsidR="00F96303" w:rsidRDefault="00F96303">
      <w:pPr>
        <w:pStyle w:val="ConsPlusNormal"/>
        <w:numPr>
          <w:ilvl w:val="0"/>
          <w:numId w:val="1"/>
        </w:numPr>
        <w:tabs>
          <w:tab w:val="left" w:pos="540"/>
        </w:tabs>
        <w:spacing w:before="200"/>
        <w:jc w:val="both"/>
      </w:pPr>
      <w:r>
        <w:t>Парфюмерно-косметические товары.</w:t>
      </w:r>
    </w:p>
    <w:p w:rsidR="00F96303" w:rsidRDefault="00F96303">
      <w:pPr>
        <w:pStyle w:val="ConsPlusNormal"/>
        <w:numPr>
          <w:ilvl w:val="0"/>
          <w:numId w:val="1"/>
        </w:numPr>
        <w:tabs>
          <w:tab w:val="left" w:pos="540"/>
        </w:tabs>
        <w:spacing w:before="200"/>
        <w:jc w:val="both"/>
      </w:pPr>
      <w:r>
        <w:t>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а также другие товары, цена которых определяется за единицу длины.</w:t>
      </w:r>
    </w:p>
    <w:p w:rsidR="00F96303" w:rsidRDefault="00F96303">
      <w:pPr>
        <w:pStyle w:val="ConsPlusNormal"/>
        <w:numPr>
          <w:ilvl w:val="0"/>
          <w:numId w:val="1"/>
        </w:numPr>
        <w:tabs>
          <w:tab w:val="left" w:pos="540"/>
        </w:tabs>
        <w:spacing w:before="200"/>
        <w:jc w:val="both"/>
      </w:pPr>
      <w:r>
        <w:t>Швейные и трикотажные изделия (изделия швейные и трикотажные бельевые, изделия чулочно-носочные).</w:t>
      </w:r>
    </w:p>
    <w:p w:rsidR="00F96303" w:rsidRDefault="00F96303">
      <w:pPr>
        <w:pStyle w:val="ConsPlusNormal"/>
        <w:numPr>
          <w:ilvl w:val="0"/>
          <w:numId w:val="1"/>
        </w:numPr>
        <w:tabs>
          <w:tab w:val="left" w:pos="540"/>
        </w:tabs>
        <w:spacing w:before="200"/>
        <w:jc w:val="both"/>
      </w:pPr>
      <w:r>
        <w:t>Изделия и материалы, полностью или частично изготовленные из полимерных материалов и контактирующие с пищей (посуда и принадлежности столовые и кухонные, емкости и упаковочные материалы для хранения и транспортирования пищевых продуктов, в том числе одноразовые).</w:t>
      </w:r>
    </w:p>
    <w:p w:rsidR="00F96303" w:rsidRDefault="00F96303">
      <w:pPr>
        <w:pStyle w:val="ConsPlusNormal"/>
        <w:numPr>
          <w:ilvl w:val="0"/>
          <w:numId w:val="1"/>
        </w:numPr>
        <w:tabs>
          <w:tab w:val="left" w:pos="540"/>
        </w:tabs>
        <w:spacing w:before="200"/>
        <w:jc w:val="both"/>
      </w:pPr>
      <w:r>
        <w:t>Товары бытовой химии, пестициды и агрохимикаты.</w:t>
      </w:r>
    </w:p>
    <w:p w:rsidR="00F96303" w:rsidRDefault="00F96303">
      <w:pPr>
        <w:pStyle w:val="ConsPlusNormal"/>
        <w:numPr>
          <w:ilvl w:val="0"/>
          <w:numId w:val="1"/>
        </w:numPr>
        <w:tabs>
          <w:tab w:val="left" w:pos="540"/>
        </w:tabs>
        <w:spacing w:before="200"/>
        <w:jc w:val="both"/>
      </w:pPr>
      <w:r>
        <w:t>Мебельные гарнитуры бытового назначения.</w:t>
      </w:r>
    </w:p>
    <w:p w:rsidR="00F96303" w:rsidRDefault="00F96303">
      <w:pPr>
        <w:pStyle w:val="ConsPlusNormal"/>
        <w:numPr>
          <w:ilvl w:val="0"/>
          <w:numId w:val="1"/>
        </w:numPr>
        <w:tabs>
          <w:tab w:val="left" w:pos="540"/>
        </w:tabs>
        <w:spacing w:before="200"/>
        <w:jc w:val="both"/>
      </w:pPr>
      <w:r>
        <w:t>Ювелирные и другие изделия из драгметаллов и (или) драгкамней, ограненные драгоценные камни.</w:t>
      </w:r>
    </w:p>
    <w:p w:rsidR="00F96303" w:rsidRDefault="00F96303">
      <w:pPr>
        <w:pStyle w:val="ConsPlusNormal"/>
        <w:numPr>
          <w:ilvl w:val="0"/>
          <w:numId w:val="1"/>
        </w:numPr>
        <w:tabs>
          <w:tab w:val="left" w:pos="540"/>
        </w:tabs>
        <w:spacing w:before="200"/>
        <w:jc w:val="both"/>
      </w:pPr>
      <w:r>
        <w:t>Автомобили и мотовелотовары, прицепы и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ним; мобильные средства малой механизации сельскохозяйственных работ; прогулочные суда и иные плавсредства бытового назначения.</w:t>
      </w:r>
    </w:p>
    <w:p w:rsidR="00F96303" w:rsidRDefault="00F96303">
      <w:pPr>
        <w:pStyle w:val="ConsPlusNormal"/>
        <w:numPr>
          <w:ilvl w:val="0"/>
          <w:numId w:val="1"/>
        </w:numPr>
        <w:tabs>
          <w:tab w:val="left" w:pos="540"/>
        </w:tabs>
        <w:spacing w:before="200"/>
        <w:jc w:val="both"/>
      </w:pPr>
      <w:r>
        <w:t>Технически сложные товары бытового назначения, на которые установлены гарантийные сроки не менее года.</w:t>
      </w:r>
    </w:p>
    <w:p w:rsidR="00F96303" w:rsidRDefault="00F96303">
      <w:pPr>
        <w:pStyle w:val="ConsPlusNormal"/>
        <w:numPr>
          <w:ilvl w:val="0"/>
          <w:numId w:val="1"/>
        </w:numPr>
        <w:tabs>
          <w:tab w:val="left" w:pos="540"/>
        </w:tabs>
        <w:spacing w:before="200"/>
        <w:jc w:val="both"/>
      </w:pPr>
      <w:r>
        <w:t>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F96303" w:rsidRDefault="00F96303">
      <w:pPr>
        <w:pStyle w:val="ConsPlusNormal"/>
        <w:numPr>
          <w:ilvl w:val="0"/>
          <w:numId w:val="1"/>
        </w:numPr>
        <w:tabs>
          <w:tab w:val="left" w:pos="540"/>
        </w:tabs>
        <w:spacing w:before="200"/>
        <w:jc w:val="both"/>
      </w:pPr>
      <w:r>
        <w:t>Животные и растения.</w:t>
      </w:r>
    </w:p>
    <w:p w:rsidR="00F96303" w:rsidRDefault="00F96303">
      <w:pPr>
        <w:pStyle w:val="ConsPlusNormal"/>
        <w:numPr>
          <w:ilvl w:val="0"/>
          <w:numId w:val="1"/>
        </w:numPr>
        <w:tabs>
          <w:tab w:val="left" w:pos="540"/>
        </w:tabs>
        <w:spacing w:before="200"/>
        <w:jc w:val="both"/>
      </w:pPr>
      <w:r>
        <w:t>Непериодические издания (книги, брошюры, альбомы, картографические и нотные издания, листовые изоиздания, календари, буклеты, издания на технических носителях информации).</w:t>
      </w:r>
    </w:p>
    <w:p w:rsidR="00F96303" w:rsidRDefault="00F96303">
      <w:pPr>
        <w:pStyle w:val="ConsPlusNormal"/>
        <w:jc w:val="both"/>
      </w:pPr>
    </w:p>
    <w:p w:rsidR="00F96303" w:rsidRDefault="00F96303">
      <w:pPr>
        <w:pStyle w:val="ConsPlusNormal"/>
        <w:jc w:val="both"/>
      </w:pPr>
    </w:p>
    <w:p w:rsidR="00F96303" w:rsidRDefault="00F96303">
      <w:pPr>
        <w:pStyle w:val="ConsPlusNormal"/>
        <w:jc w:val="both"/>
      </w:pPr>
    </w:p>
    <w:p w:rsidR="00F96303" w:rsidRDefault="00F96303">
      <w:pPr>
        <w:pStyle w:val="ConsPlusNormal"/>
        <w:jc w:val="both"/>
      </w:pPr>
    </w:p>
    <w:p w:rsidR="00F96303" w:rsidRDefault="00F96303">
      <w:pPr>
        <w:pStyle w:val="ConsPlusNormal"/>
        <w:pBdr>
          <w:top w:val="single" w:sz="6" w:space="0" w:color="auto"/>
        </w:pBdr>
        <w:spacing w:before="100" w:after="100"/>
        <w:jc w:val="both"/>
        <w:rPr>
          <w:sz w:val="2"/>
          <w:szCs w:val="2"/>
        </w:rPr>
      </w:pPr>
    </w:p>
    <w:sectPr w:rsidR="00F96303">
      <w:headerReference w:type="default" r:id="rId14"/>
      <w:footerReference w:type="default" r:id="rId15"/>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60C" w:rsidRDefault="00B3060C">
      <w:pPr>
        <w:spacing w:after="0" w:line="240" w:lineRule="auto"/>
      </w:pPr>
      <w:r>
        <w:separator/>
      </w:r>
    </w:p>
  </w:endnote>
  <w:endnote w:type="continuationSeparator" w:id="1">
    <w:p w:rsidR="00B3060C" w:rsidRDefault="00B30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03" w:rsidRDefault="00F9630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F96303" w:rsidRPr="00B3060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F96303" w:rsidRPr="00B3060C" w:rsidRDefault="00F96303">
          <w:pPr>
            <w:pStyle w:val="ConsPlusNormal"/>
            <w:rPr>
              <w:rFonts w:ascii="Tahoma" w:eastAsiaTheme="minorEastAsi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F96303" w:rsidRPr="00B3060C" w:rsidRDefault="00F96303">
          <w:pPr>
            <w:pStyle w:val="ConsPlusNormal"/>
            <w:jc w:val="center"/>
            <w:rPr>
              <w:rFonts w:ascii="Tahoma" w:eastAsiaTheme="minorEastAsia" w:hAnsi="Tahoma" w:cs="Tahoma"/>
              <w:b/>
              <w:bCs/>
            </w:rPr>
          </w:pPr>
        </w:p>
      </w:tc>
      <w:tc>
        <w:tcPr>
          <w:tcW w:w="1650" w:type="pct"/>
          <w:tcBorders>
            <w:top w:val="none" w:sz="2" w:space="0" w:color="auto"/>
            <w:left w:val="none" w:sz="2" w:space="0" w:color="auto"/>
            <w:bottom w:val="none" w:sz="2" w:space="0" w:color="auto"/>
            <w:right w:val="none" w:sz="2" w:space="0" w:color="auto"/>
          </w:tcBorders>
          <w:vAlign w:val="center"/>
        </w:tcPr>
        <w:p w:rsidR="00F96303" w:rsidRPr="00B3060C" w:rsidRDefault="00F96303">
          <w:pPr>
            <w:pStyle w:val="ConsPlusNormal"/>
            <w:jc w:val="right"/>
            <w:rPr>
              <w:rFonts w:ascii="Tahoma" w:eastAsiaTheme="minorEastAsia" w:hAnsi="Tahoma" w:cs="Tahoma"/>
            </w:rPr>
          </w:pPr>
        </w:p>
      </w:tc>
    </w:tr>
  </w:tbl>
  <w:p w:rsidR="00F96303" w:rsidRDefault="00F9630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60C" w:rsidRDefault="00B3060C">
      <w:pPr>
        <w:spacing w:after="0" w:line="240" w:lineRule="auto"/>
      </w:pPr>
      <w:r>
        <w:separator/>
      </w:r>
    </w:p>
  </w:footnote>
  <w:footnote w:type="continuationSeparator" w:id="1">
    <w:p w:rsidR="00B3060C" w:rsidRDefault="00B306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F96303" w:rsidRPr="00B3060C" w:rsidTr="00BA2CEE">
      <w:tblPrEx>
        <w:tblCellMar>
          <w:top w:w="0" w:type="dxa"/>
          <w:bottom w:w="0" w:type="dxa"/>
        </w:tblCellMar>
      </w:tblPrEx>
      <w:trPr>
        <w:trHeight w:hRule="exact" w:val="1683"/>
        <w:tblCellSpacing w:w="5" w:type="nil"/>
      </w:trPr>
      <w:tc>
        <w:tcPr>
          <w:tcW w:w="5555" w:type="dxa"/>
          <w:tcBorders>
            <w:top w:val="none" w:sz="2" w:space="0" w:color="auto"/>
            <w:left w:val="none" w:sz="2" w:space="0" w:color="auto"/>
            <w:bottom w:val="none" w:sz="2" w:space="0" w:color="auto"/>
            <w:right w:val="none" w:sz="2" w:space="0" w:color="auto"/>
          </w:tcBorders>
          <w:vAlign w:val="center"/>
        </w:tcPr>
        <w:p w:rsidR="00F96303" w:rsidRPr="00B3060C" w:rsidRDefault="00F96303">
          <w:pPr>
            <w:pStyle w:val="ConsPlusNormal"/>
            <w:rPr>
              <w:rFonts w:ascii="Tahoma" w:eastAsiaTheme="minorEastAsia" w:hAnsi="Tahoma" w:cs="Tahoma"/>
              <w:sz w:val="16"/>
              <w:szCs w:val="16"/>
            </w:rPr>
          </w:pPr>
        </w:p>
      </w:tc>
      <w:tc>
        <w:tcPr>
          <w:tcW w:w="4732" w:type="dxa"/>
          <w:tcBorders>
            <w:top w:val="none" w:sz="2" w:space="0" w:color="auto"/>
            <w:left w:val="none" w:sz="2" w:space="0" w:color="auto"/>
            <w:bottom w:val="none" w:sz="2" w:space="0" w:color="auto"/>
            <w:right w:val="none" w:sz="2" w:space="0" w:color="auto"/>
          </w:tcBorders>
          <w:vAlign w:val="center"/>
        </w:tcPr>
        <w:p w:rsidR="00F96303" w:rsidRPr="00B3060C" w:rsidRDefault="00F96303">
          <w:pPr>
            <w:pStyle w:val="ConsPlusNormal"/>
            <w:jc w:val="right"/>
            <w:rPr>
              <w:rFonts w:ascii="Tahoma" w:eastAsiaTheme="minorEastAsia" w:hAnsi="Tahoma" w:cs="Tahoma"/>
              <w:sz w:val="16"/>
              <w:szCs w:val="16"/>
            </w:rPr>
          </w:pPr>
        </w:p>
      </w:tc>
    </w:tr>
  </w:tbl>
  <w:p w:rsidR="00F96303" w:rsidRDefault="00F96303">
    <w:pPr>
      <w:pStyle w:val="ConsPlusNormal"/>
      <w:pBdr>
        <w:bottom w:val="single" w:sz="12" w:space="0" w:color="auto"/>
      </w:pBdr>
      <w:jc w:val="center"/>
      <w:rPr>
        <w:sz w:val="2"/>
        <w:szCs w:val="2"/>
      </w:rPr>
    </w:pPr>
  </w:p>
  <w:p w:rsidR="00F96303" w:rsidRDefault="00F96303">
    <w:pPr>
      <w:pStyle w:val="ConsPlusNormal"/>
    </w:pPr>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rPr>
        <w:rFonts w:cs="Times New Roman"/>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2CEE"/>
    <w:rsid w:val="000F413B"/>
    <w:rsid w:val="003B3DC4"/>
    <w:rsid w:val="00AC46D5"/>
    <w:rsid w:val="00B3060C"/>
    <w:rsid w:val="00BA2CEE"/>
    <w:rsid w:val="00DE21C5"/>
    <w:rsid w:val="00F963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BA2CEE"/>
    <w:pPr>
      <w:tabs>
        <w:tab w:val="center" w:pos="4677"/>
        <w:tab w:val="right" w:pos="9355"/>
      </w:tabs>
    </w:pPr>
  </w:style>
  <w:style w:type="character" w:customStyle="1" w:styleId="a4">
    <w:name w:val="Верхний колонтитул Знак"/>
    <w:basedOn w:val="a0"/>
    <w:link w:val="a3"/>
    <w:uiPriority w:val="99"/>
    <w:locked/>
    <w:rsid w:val="00BA2CEE"/>
    <w:rPr>
      <w:rFonts w:cs="Times New Roman"/>
    </w:rPr>
  </w:style>
  <w:style w:type="paragraph" w:styleId="a5">
    <w:name w:val="footer"/>
    <w:basedOn w:val="a"/>
    <w:link w:val="a6"/>
    <w:uiPriority w:val="99"/>
    <w:unhideWhenUsed/>
    <w:rsid w:val="00BA2CEE"/>
    <w:pPr>
      <w:tabs>
        <w:tab w:val="center" w:pos="4677"/>
        <w:tab w:val="right" w:pos="9355"/>
      </w:tabs>
    </w:pPr>
  </w:style>
  <w:style w:type="character" w:customStyle="1" w:styleId="a6">
    <w:name w:val="Нижний колонтитул Знак"/>
    <w:basedOn w:val="a0"/>
    <w:link w:val="a5"/>
    <w:uiPriority w:val="99"/>
    <w:locked/>
    <w:rsid w:val="00BA2CE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2486F6D5B6885976C012B256DBA62C33A32C4AF5253C0338AEDAD49B6D2695C1231D7261706C7F3F2CD0242BA7E27A3B6F4B4BZ0rBM" TargetMode="External"/><Relationship Id="rId13" Type="http://schemas.openxmlformats.org/officeDocument/2006/relationships/hyperlink" Target="consultantplus://offline/ref=502486F6D5B6885976C012B256DBA62C33A32F4FF0213C0338AEDAD49B6D2695C1231D72657B392B7C72897566ECEF792C734B4A14B47206Z1rCM" TargetMode="External"/><Relationship Id="rId3" Type="http://schemas.openxmlformats.org/officeDocument/2006/relationships/settings" Target="settings.xml"/><Relationship Id="rId7" Type="http://schemas.openxmlformats.org/officeDocument/2006/relationships/hyperlink" Target="consultantplus://offline/ref=502486F6D5B6885976C012B256DBA62C33A02D41FB203C0338AEDAD49B6D2695C1231D72657B3A2C7372897566ECEF792C734B4A14B47206Z1rCM" TargetMode="External"/><Relationship Id="rId12" Type="http://schemas.openxmlformats.org/officeDocument/2006/relationships/hyperlink" Target="consultantplus://offline/ref=502486F6D5B6885976C012B256DBA62C33A32C4AF5253C0338AEDAD49B6D2695C1231D72657B3B267E72897566ECEF792C734B4A14B47206Z1rC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02486F6D5B6885976C012B256DBA62C33A32C4AF5253C0338AEDAD49B6D2695C1231D72657B3B2B7372897566ECEF792C734B4A14B47206Z1rC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502486F6D5B6885976C012B256DBA62C33A32F4FF0213C0338AEDAD49B6D2695C1231D72657B392B7C72897566ECEF792C734B4A14B47206Z1rCM" TargetMode="External"/><Relationship Id="rId4" Type="http://schemas.openxmlformats.org/officeDocument/2006/relationships/webSettings" Target="webSettings.xml"/><Relationship Id="rId9" Type="http://schemas.openxmlformats.org/officeDocument/2006/relationships/hyperlink" Target="consultantplus://offline/ref=502486F6D5B6885976C012B256DBA62C33A32C4AF5253C0338AEDAD49B6D2695C1231D72657B39297372897566ECEF792C734B4A14B47206Z1rC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1069</Words>
  <Characters>6095</Characters>
  <Application>Microsoft Office Word</Application>
  <DocSecurity>2</DocSecurity>
  <Lines>50</Lines>
  <Paragraphs>14</Paragraphs>
  <ScaleCrop>false</ScaleCrop>
  <Company>КонсультантПлюс Версия 4020.00.61</Company>
  <LinksUpToDate>false</LinksUpToDate>
  <CharactersWithSpaces>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Ситуация: Какие товары нельзя вернуть или обменять?("Электронный журнал "Азбука права", 2021)</dc:title>
  <dc:creator>Пользователь Windows</dc:creator>
  <cp:lastModifiedBy>Пользователь Windows</cp:lastModifiedBy>
  <cp:revision>2</cp:revision>
  <dcterms:created xsi:type="dcterms:W3CDTF">2023-07-24T13:17:00Z</dcterms:created>
  <dcterms:modified xsi:type="dcterms:W3CDTF">2023-07-24T13:17:00Z</dcterms:modified>
</cp:coreProperties>
</file>