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831DEE">
        <w:rPr>
          <w:kern w:val="20"/>
          <w:sz w:val="28"/>
          <w:szCs w:val="28"/>
        </w:rPr>
        <w:t xml:space="preserve">на </w:t>
      </w:r>
      <w:r w:rsidR="004505F7">
        <w:rPr>
          <w:kern w:val="20"/>
          <w:sz w:val="28"/>
          <w:szCs w:val="28"/>
        </w:rPr>
        <w:t>2023</w:t>
      </w:r>
      <w:r w:rsidR="002A076B">
        <w:rPr>
          <w:kern w:val="20"/>
          <w:sz w:val="28"/>
          <w:szCs w:val="28"/>
        </w:rPr>
        <w:t xml:space="preserve"> год,</w:t>
      </w:r>
      <w:r w:rsidR="004B77CD">
        <w:rPr>
          <w:kern w:val="20"/>
          <w:sz w:val="28"/>
          <w:szCs w:val="28"/>
        </w:rPr>
        <w:t xml:space="preserve"> утвержденным постановлением Администрации муниципального округа</w:t>
      </w:r>
      <w:proofErr w:type="gramEnd"/>
      <w:r w:rsidR="004B77CD">
        <w:rPr>
          <w:kern w:val="20"/>
          <w:sz w:val="28"/>
          <w:szCs w:val="28"/>
        </w:rPr>
        <w:t xml:space="preserve"> от 23.01.2023  № 58</w:t>
      </w:r>
      <w:r w:rsidR="00297F9E">
        <w:rPr>
          <w:kern w:val="20"/>
          <w:sz w:val="28"/>
          <w:szCs w:val="28"/>
        </w:rPr>
        <w:t xml:space="preserve"> (в редакции постановление от 04.07.2023 №1116)</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r w:rsidR="002A076B" w:rsidRPr="0063173E">
        <w:rPr>
          <w:sz w:val="28"/>
          <w:szCs w:val="28"/>
        </w:rPr>
        <w:t>от</w:t>
      </w:r>
      <w:r w:rsidR="00E11396">
        <w:rPr>
          <w:sz w:val="28"/>
          <w:szCs w:val="28"/>
        </w:rPr>
        <w:t xml:space="preserve"> 17</w:t>
      </w:r>
      <w:r w:rsidR="00A45E1D">
        <w:rPr>
          <w:sz w:val="28"/>
          <w:szCs w:val="28"/>
        </w:rPr>
        <w:t>.</w:t>
      </w:r>
      <w:r w:rsidR="00E11396">
        <w:rPr>
          <w:sz w:val="28"/>
          <w:szCs w:val="28"/>
        </w:rPr>
        <w:t>11</w:t>
      </w:r>
      <w:r w:rsidR="004B77CD">
        <w:rPr>
          <w:sz w:val="28"/>
          <w:szCs w:val="28"/>
        </w:rPr>
        <w:t>.2023</w:t>
      </w:r>
      <w:r w:rsidR="0063173E" w:rsidRPr="0063173E">
        <w:rPr>
          <w:sz w:val="28"/>
          <w:szCs w:val="28"/>
        </w:rPr>
        <w:t xml:space="preserve"> </w:t>
      </w:r>
      <w:r w:rsidR="00581428">
        <w:rPr>
          <w:sz w:val="28"/>
          <w:szCs w:val="28"/>
        </w:rPr>
        <w:t>№</w:t>
      </w:r>
      <w:r w:rsidR="00E11396">
        <w:rPr>
          <w:sz w:val="28"/>
          <w:szCs w:val="28"/>
        </w:rPr>
        <w:t>2142</w:t>
      </w:r>
      <w:r w:rsidR="00581428">
        <w:rPr>
          <w:sz w:val="28"/>
          <w:szCs w:val="28"/>
        </w:rPr>
        <w:t xml:space="preserve">  </w:t>
      </w:r>
      <w:r w:rsidRPr="0063173E">
        <w:rPr>
          <w:sz w:val="28"/>
          <w:szCs w:val="28"/>
        </w:rPr>
        <w:t>«Об условиях приватизации муниципального имущества»</w:t>
      </w:r>
      <w:r w:rsidR="002A076B" w:rsidRPr="0063173E">
        <w:rPr>
          <w:sz w:val="28"/>
          <w:szCs w:val="28"/>
        </w:rPr>
        <w:t>,</w:t>
      </w:r>
      <w:r w:rsidR="0063173E">
        <w:rPr>
          <w:sz w:val="28"/>
          <w:szCs w:val="28"/>
        </w:rPr>
        <w:t xml:space="preserve"> </w:t>
      </w:r>
      <w:r w:rsidR="00E11396">
        <w:rPr>
          <w:sz w:val="28"/>
          <w:szCs w:val="28"/>
        </w:rPr>
        <w:t>20</w:t>
      </w:r>
      <w:r w:rsidR="00F43EE7">
        <w:rPr>
          <w:sz w:val="28"/>
          <w:szCs w:val="28"/>
        </w:rPr>
        <w:t xml:space="preserve"> </w:t>
      </w:r>
      <w:r w:rsidR="00E11396">
        <w:rPr>
          <w:sz w:val="28"/>
          <w:szCs w:val="28"/>
        </w:rPr>
        <w:t>ноября</w:t>
      </w:r>
      <w:r w:rsidR="004B77CD">
        <w:rPr>
          <w:sz w:val="28"/>
          <w:szCs w:val="28"/>
        </w:rPr>
        <w:t xml:space="preserve"> 2023</w:t>
      </w:r>
      <w:r w:rsidR="000B4E63">
        <w:rPr>
          <w:sz w:val="28"/>
          <w:szCs w:val="28"/>
        </w:rPr>
        <w:t xml:space="preserve"> года </w:t>
      </w:r>
      <w:r w:rsidRPr="00100559">
        <w:rPr>
          <w:sz w:val="28"/>
          <w:szCs w:val="28"/>
        </w:rPr>
        <w:t xml:space="preserve">в </w:t>
      </w:r>
      <w:r w:rsidR="00F43EE7">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E11396" w:rsidRDefault="00E11396" w:rsidP="00E11396">
      <w:pPr>
        <w:autoSpaceDE w:val="0"/>
        <w:autoSpaceDN w:val="0"/>
        <w:adjustRightInd w:val="0"/>
        <w:spacing w:line="360" w:lineRule="atLeast"/>
        <w:ind w:firstLine="708"/>
        <w:jc w:val="both"/>
        <w:rPr>
          <w:sz w:val="28"/>
          <w:szCs w:val="28"/>
        </w:rPr>
      </w:pPr>
      <w:r>
        <w:rPr>
          <w:sz w:val="28"/>
          <w:szCs w:val="28"/>
        </w:rPr>
        <w:t>Н</w:t>
      </w:r>
      <w:r w:rsidRPr="007326F2">
        <w:rPr>
          <w:sz w:val="28"/>
          <w:szCs w:val="28"/>
        </w:rPr>
        <w:t>ежило</w:t>
      </w:r>
      <w:r>
        <w:rPr>
          <w:sz w:val="28"/>
          <w:szCs w:val="28"/>
        </w:rPr>
        <w:t>е</w:t>
      </w:r>
      <w:r w:rsidRPr="007326F2">
        <w:rPr>
          <w:sz w:val="28"/>
          <w:szCs w:val="28"/>
        </w:rPr>
        <w:t xml:space="preserve"> здани</w:t>
      </w:r>
      <w:r>
        <w:rPr>
          <w:sz w:val="28"/>
          <w:szCs w:val="28"/>
        </w:rPr>
        <w:t>е</w:t>
      </w:r>
      <w:r w:rsidRPr="007326F2">
        <w:rPr>
          <w:sz w:val="28"/>
          <w:szCs w:val="28"/>
        </w:rPr>
        <w:t xml:space="preserve"> детского сада №4, общей площадью 944,1 кв</w:t>
      </w:r>
      <w:proofErr w:type="gramStart"/>
      <w:r w:rsidRPr="007326F2">
        <w:rPr>
          <w:sz w:val="28"/>
          <w:szCs w:val="28"/>
        </w:rPr>
        <w:t>.м</w:t>
      </w:r>
      <w:proofErr w:type="gramEnd"/>
      <w:r w:rsidRPr="007326F2">
        <w:rPr>
          <w:sz w:val="28"/>
          <w:szCs w:val="28"/>
        </w:rPr>
        <w:t xml:space="preserve">, </w:t>
      </w:r>
      <w:r>
        <w:rPr>
          <w:sz w:val="28"/>
          <w:szCs w:val="28"/>
        </w:rPr>
        <w:t xml:space="preserve">с </w:t>
      </w:r>
      <w:r w:rsidRPr="007326F2">
        <w:rPr>
          <w:sz w:val="28"/>
          <w:szCs w:val="28"/>
        </w:rPr>
        <w:t>кадастровы</w:t>
      </w:r>
      <w:r>
        <w:rPr>
          <w:sz w:val="28"/>
          <w:szCs w:val="28"/>
        </w:rPr>
        <w:t>м</w:t>
      </w:r>
      <w:r w:rsidRPr="007326F2">
        <w:rPr>
          <w:sz w:val="28"/>
          <w:szCs w:val="28"/>
        </w:rPr>
        <w:t xml:space="preserve"> номер</w:t>
      </w:r>
      <w:r>
        <w:rPr>
          <w:sz w:val="28"/>
          <w:szCs w:val="28"/>
        </w:rPr>
        <w:t>ом</w:t>
      </w:r>
      <w:r w:rsidRPr="007326F2">
        <w:rPr>
          <w:sz w:val="28"/>
          <w:szCs w:val="28"/>
        </w:rPr>
        <w:t xml:space="preserve"> 53:16:0000000:2589, земельн</w:t>
      </w:r>
      <w:r>
        <w:rPr>
          <w:sz w:val="28"/>
          <w:szCs w:val="28"/>
        </w:rPr>
        <w:t>ый</w:t>
      </w:r>
      <w:r w:rsidRPr="007326F2">
        <w:rPr>
          <w:sz w:val="28"/>
          <w:szCs w:val="28"/>
        </w:rPr>
        <w:t xml:space="preserve"> участ</w:t>
      </w:r>
      <w:r>
        <w:rPr>
          <w:sz w:val="28"/>
          <w:szCs w:val="28"/>
        </w:rPr>
        <w:t>ок</w:t>
      </w:r>
      <w:r w:rsidRPr="007326F2">
        <w:rPr>
          <w:sz w:val="28"/>
          <w:szCs w:val="28"/>
        </w:rPr>
        <w:t xml:space="preserve"> с кадастровым номером 53:16:0010805:9, площадью 4120 кв.м. и металлическ</w:t>
      </w:r>
      <w:r>
        <w:rPr>
          <w:sz w:val="28"/>
          <w:szCs w:val="28"/>
        </w:rPr>
        <w:t>ий</w:t>
      </w:r>
      <w:r w:rsidRPr="007326F2">
        <w:rPr>
          <w:sz w:val="28"/>
          <w:szCs w:val="28"/>
        </w:rPr>
        <w:t xml:space="preserve"> забор  протяженностью 844 м. по адресу:  Новгор</w:t>
      </w:r>
      <w:r>
        <w:rPr>
          <w:sz w:val="28"/>
          <w:szCs w:val="28"/>
        </w:rPr>
        <w:t xml:space="preserve">одская область, </w:t>
      </w:r>
      <w:proofErr w:type="gramStart"/>
      <w:r w:rsidRPr="007326F2">
        <w:rPr>
          <w:sz w:val="28"/>
          <w:szCs w:val="28"/>
        </w:rPr>
        <w:t>г</w:t>
      </w:r>
      <w:proofErr w:type="gramEnd"/>
      <w:r w:rsidRPr="007326F2">
        <w:rPr>
          <w:sz w:val="28"/>
          <w:szCs w:val="28"/>
        </w:rPr>
        <w:t>. Сольцы 2, ул. Авиаторов, д. 4</w:t>
      </w:r>
      <w:r>
        <w:rPr>
          <w:sz w:val="28"/>
          <w:szCs w:val="28"/>
        </w:rPr>
        <w:t>.</w:t>
      </w:r>
    </w:p>
    <w:p w:rsidR="00E11396" w:rsidRPr="003452FB" w:rsidRDefault="00B701A9" w:rsidP="00E11396">
      <w:pPr>
        <w:spacing w:line="360" w:lineRule="atLeast"/>
        <w:ind w:firstLine="709"/>
        <w:jc w:val="both"/>
        <w:rPr>
          <w:sz w:val="28"/>
          <w:szCs w:val="28"/>
        </w:rPr>
      </w:pPr>
      <w:r w:rsidRPr="009E2EF6">
        <w:rPr>
          <w:b/>
          <w:sz w:val="28"/>
          <w:szCs w:val="28"/>
        </w:rPr>
        <w:t>Начальная цена</w:t>
      </w:r>
      <w:r w:rsidRPr="009E2EF6">
        <w:rPr>
          <w:sz w:val="28"/>
          <w:szCs w:val="28"/>
        </w:rPr>
        <w:t xml:space="preserve"> </w:t>
      </w:r>
      <w:r w:rsidR="00A45E1D" w:rsidRPr="009E2EF6">
        <w:rPr>
          <w:sz w:val="28"/>
          <w:szCs w:val="28"/>
        </w:rPr>
        <w:t>–</w:t>
      </w:r>
      <w:r w:rsidR="00A45E1D">
        <w:rPr>
          <w:sz w:val="28"/>
          <w:szCs w:val="28"/>
        </w:rPr>
        <w:t xml:space="preserve"> </w:t>
      </w:r>
      <w:r w:rsidR="00E11396" w:rsidRPr="00343729">
        <w:rPr>
          <w:sz w:val="28"/>
          <w:szCs w:val="28"/>
        </w:rPr>
        <w:t>3 063 000,00</w:t>
      </w:r>
      <w:r w:rsidR="00E11396">
        <w:rPr>
          <w:sz w:val="28"/>
          <w:szCs w:val="28"/>
        </w:rPr>
        <w:t xml:space="preserve"> </w:t>
      </w:r>
      <w:r w:rsidR="00E11396" w:rsidRPr="00343729">
        <w:rPr>
          <w:sz w:val="28"/>
          <w:szCs w:val="28"/>
        </w:rPr>
        <w:t>(</w:t>
      </w:r>
      <w:r w:rsidR="00E11396">
        <w:rPr>
          <w:sz w:val="28"/>
          <w:szCs w:val="28"/>
        </w:rPr>
        <w:t>т</w:t>
      </w:r>
      <w:r w:rsidR="00E11396" w:rsidRPr="00343729">
        <w:rPr>
          <w:sz w:val="28"/>
          <w:szCs w:val="28"/>
        </w:rPr>
        <w:t>ри миллиона шестьдесят три тысячи рублей</w:t>
      </w:r>
      <w:r w:rsidR="00E11396">
        <w:rPr>
          <w:sz w:val="28"/>
          <w:szCs w:val="28"/>
        </w:rPr>
        <w:t xml:space="preserve"> 00 копеек</w:t>
      </w:r>
      <w:r w:rsidR="00E11396" w:rsidRPr="003452FB">
        <w:rPr>
          <w:sz w:val="28"/>
          <w:szCs w:val="28"/>
        </w:rPr>
        <w:t>) согласно отчету  о рыночной стои</w:t>
      </w:r>
      <w:r w:rsidR="00E11396">
        <w:rPr>
          <w:sz w:val="28"/>
          <w:szCs w:val="28"/>
        </w:rPr>
        <w:t>мости  от 10.07.2023 №399, подготовленном</w:t>
      </w:r>
      <w:proofErr w:type="gramStart"/>
      <w:r w:rsidR="00E11396">
        <w:rPr>
          <w:sz w:val="28"/>
          <w:szCs w:val="28"/>
        </w:rPr>
        <w:t>у ООО</w:t>
      </w:r>
      <w:proofErr w:type="gramEnd"/>
      <w:r w:rsidR="00E11396">
        <w:rPr>
          <w:sz w:val="28"/>
          <w:szCs w:val="28"/>
        </w:rPr>
        <w:t xml:space="preserve"> «Деловой центр «Сова».</w:t>
      </w:r>
    </w:p>
    <w:p w:rsidR="00297F9E" w:rsidRDefault="00B701A9" w:rsidP="00297F9E">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E11396">
        <w:rPr>
          <w:sz w:val="28"/>
          <w:szCs w:val="28"/>
        </w:rPr>
        <w:t>306 300, 00(триста шесть тысяч триста) рублей 00 копеек (1</w:t>
      </w:r>
      <w:r w:rsidR="00E11396" w:rsidRPr="003452FB">
        <w:rPr>
          <w:sz w:val="28"/>
          <w:szCs w:val="28"/>
        </w:rPr>
        <w:t>0 процентов начальной цены).</w:t>
      </w:r>
    </w:p>
    <w:p w:rsidR="00E11396" w:rsidRDefault="006061C5" w:rsidP="00E11396">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E11396">
        <w:rPr>
          <w:sz w:val="28"/>
          <w:szCs w:val="28"/>
        </w:rPr>
        <w:t>153 150,00 (сто пятьдесят три тысячи сто пятьдесят рублей) 00 копеек (5 процентов начальной цены) до цены отсечения.</w:t>
      </w:r>
    </w:p>
    <w:p w:rsidR="00297F9E" w:rsidRDefault="000A7CD1" w:rsidP="00297F9E">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E11396">
        <w:rPr>
          <w:sz w:val="28"/>
          <w:szCs w:val="28"/>
        </w:rPr>
        <w:t>50</w:t>
      </w:r>
      <w:r w:rsidR="008F47ED">
        <w:rPr>
          <w:sz w:val="28"/>
          <w:szCs w:val="28"/>
        </w:rPr>
        <w:t xml:space="preserve"> процентов начальной цены – </w:t>
      </w:r>
      <w:r w:rsidR="00E11396">
        <w:rPr>
          <w:sz w:val="28"/>
          <w:szCs w:val="28"/>
        </w:rPr>
        <w:t>1 531 500,00 (один миллион пятьсот тридцать одна тысяча пятьсот) рублей 00 копеек.</w:t>
      </w:r>
    </w:p>
    <w:p w:rsidR="000144CE" w:rsidRDefault="000A7CD1" w:rsidP="004B77CD">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E11396">
        <w:rPr>
          <w:sz w:val="28"/>
          <w:szCs w:val="28"/>
        </w:rPr>
        <w:t>76 575,00 (семьдесят шесть тысяч пятьсот семьдесят пять) рублей 00 копеек (50 процентов шага понижения).</w:t>
      </w:r>
    </w:p>
    <w:p w:rsidR="00297F9E" w:rsidRPr="00B96F3C" w:rsidRDefault="00297F9E" w:rsidP="004B77CD">
      <w:pPr>
        <w:spacing w:line="360" w:lineRule="atLeast"/>
        <w:ind w:firstLine="709"/>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lastRenderedPageBreak/>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lastRenderedPageBreak/>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E11396">
        <w:rPr>
          <w:b/>
          <w:sz w:val="28"/>
          <w:szCs w:val="28"/>
        </w:rPr>
        <w:t>20.11</w:t>
      </w:r>
      <w:r w:rsidR="00F43EE7">
        <w:rPr>
          <w:b/>
          <w:sz w:val="28"/>
          <w:szCs w:val="28"/>
        </w:rPr>
        <w:t>.2023 в 14</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E11396">
        <w:rPr>
          <w:b/>
          <w:sz w:val="28"/>
          <w:szCs w:val="28"/>
        </w:rPr>
        <w:t>18.12</w:t>
      </w:r>
      <w:r>
        <w:rPr>
          <w:b/>
          <w:sz w:val="28"/>
          <w:szCs w:val="28"/>
        </w:rPr>
        <w:t xml:space="preserve">.2023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E11396">
        <w:rPr>
          <w:b/>
          <w:sz w:val="28"/>
          <w:szCs w:val="28"/>
        </w:rPr>
        <w:t>18.12</w:t>
      </w:r>
      <w:r>
        <w:rPr>
          <w:b/>
          <w:sz w:val="28"/>
          <w:szCs w:val="28"/>
        </w:rPr>
        <w:t>.2023</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E11396">
        <w:rPr>
          <w:b/>
          <w:sz w:val="28"/>
          <w:szCs w:val="28"/>
        </w:rPr>
        <w:t>19.12</w:t>
      </w:r>
      <w:r>
        <w:rPr>
          <w:b/>
          <w:sz w:val="28"/>
          <w:szCs w:val="28"/>
        </w:rPr>
        <w:t xml:space="preserve">.2023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297F9E">
        <w:rPr>
          <w:b/>
          <w:sz w:val="28"/>
          <w:szCs w:val="28"/>
        </w:rPr>
        <w:t>2</w:t>
      </w:r>
      <w:r w:rsidR="00E11396">
        <w:rPr>
          <w:b/>
          <w:sz w:val="28"/>
          <w:szCs w:val="28"/>
        </w:rPr>
        <w:t>0</w:t>
      </w:r>
      <w:r w:rsidR="0062347A">
        <w:rPr>
          <w:b/>
          <w:sz w:val="28"/>
          <w:szCs w:val="28"/>
        </w:rPr>
        <w:t>.</w:t>
      </w:r>
      <w:r w:rsidR="00E11396">
        <w:rPr>
          <w:b/>
          <w:sz w:val="28"/>
          <w:szCs w:val="28"/>
        </w:rPr>
        <w:t>12</w:t>
      </w:r>
      <w:r w:rsidR="00297F9E">
        <w:rPr>
          <w:b/>
          <w:sz w:val="28"/>
          <w:szCs w:val="28"/>
        </w:rPr>
        <w:t>.</w:t>
      </w:r>
      <w:r w:rsidR="00E11396">
        <w:rPr>
          <w:b/>
          <w:sz w:val="28"/>
          <w:szCs w:val="28"/>
        </w:rPr>
        <w:t>2023 в 14</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lastRenderedPageBreak/>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w:t>
      </w:r>
      <w:r w:rsidRPr="002508DF">
        <w:rPr>
          <w:sz w:val="28"/>
          <w:szCs w:val="28"/>
        </w:rPr>
        <w:lastRenderedPageBreak/>
        <w:t xml:space="preserve">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D170AF">
        <w:fldChar w:fldCharType="begin"/>
      </w:r>
      <w:r w:rsidR="00984B27">
        <w:instrText>HYPERLINK "http://www.torgi.gov.ru"</w:instrText>
      </w:r>
      <w:r w:rsidR="00D170AF">
        <w:fldChar w:fldCharType="separate"/>
      </w:r>
      <w:r w:rsidRPr="002508DF">
        <w:rPr>
          <w:rFonts w:eastAsiaTheme="minorHAnsi"/>
          <w:sz w:val="28"/>
          <w:szCs w:val="28"/>
          <w:lang w:eastAsia="en-US"/>
        </w:rPr>
        <w:t>www.torgi.gov.ru</w:t>
      </w:r>
      <w:proofErr w:type="spellEnd"/>
      <w:r w:rsidR="00D170AF">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lastRenderedPageBreak/>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lastRenderedPageBreak/>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97F9E"/>
    <w:rsid w:val="002A076B"/>
    <w:rsid w:val="002C1DBE"/>
    <w:rsid w:val="00326F61"/>
    <w:rsid w:val="00335B72"/>
    <w:rsid w:val="00340EEC"/>
    <w:rsid w:val="0037009F"/>
    <w:rsid w:val="003A49F9"/>
    <w:rsid w:val="003A61E0"/>
    <w:rsid w:val="003B7C1F"/>
    <w:rsid w:val="003D5783"/>
    <w:rsid w:val="003F3F62"/>
    <w:rsid w:val="003F53B2"/>
    <w:rsid w:val="00406404"/>
    <w:rsid w:val="00406E4E"/>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170AF"/>
    <w:rsid w:val="00DB3E7E"/>
    <w:rsid w:val="00DC21D1"/>
    <w:rsid w:val="00E0686E"/>
    <w:rsid w:val="00E11396"/>
    <w:rsid w:val="00E1183B"/>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41D34"/>
    <w:rsid w:val="00151F1C"/>
    <w:rsid w:val="00233B83"/>
    <w:rsid w:val="002755D7"/>
    <w:rsid w:val="002A6DB7"/>
    <w:rsid w:val="00324C10"/>
    <w:rsid w:val="005759D5"/>
    <w:rsid w:val="00604F1F"/>
    <w:rsid w:val="00694D8F"/>
    <w:rsid w:val="006C1656"/>
    <w:rsid w:val="007138AC"/>
    <w:rsid w:val="00720DB0"/>
    <w:rsid w:val="007329F4"/>
    <w:rsid w:val="007B24E8"/>
    <w:rsid w:val="007B2EA9"/>
    <w:rsid w:val="007C0668"/>
    <w:rsid w:val="007C5B0E"/>
    <w:rsid w:val="00882C3C"/>
    <w:rsid w:val="00920B0A"/>
    <w:rsid w:val="009E64E5"/>
    <w:rsid w:val="00A8523A"/>
    <w:rsid w:val="00AC0CB3"/>
    <w:rsid w:val="00B561B9"/>
    <w:rsid w:val="00B749F4"/>
    <w:rsid w:val="00B801A0"/>
    <w:rsid w:val="00B92E17"/>
    <w:rsid w:val="00BF12D8"/>
    <w:rsid w:val="00CB0318"/>
    <w:rsid w:val="00D31FDB"/>
    <w:rsid w:val="00D56547"/>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42</cp:revision>
  <cp:lastPrinted>2023-11-20T09:09:00Z</cp:lastPrinted>
  <dcterms:created xsi:type="dcterms:W3CDTF">2020-11-20T12:01:00Z</dcterms:created>
  <dcterms:modified xsi:type="dcterms:W3CDTF">2023-11-20T09:09:00Z</dcterms:modified>
</cp:coreProperties>
</file>