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55" w:rsidRPr="00D3069F" w:rsidRDefault="00131B55" w:rsidP="00D3069F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91F">
        <w:rPr>
          <w:rFonts w:ascii="Times New Roman" w:hAnsi="Times New Roman" w:cs="Times New Roman"/>
          <w:b/>
          <w:sz w:val="28"/>
          <w:szCs w:val="28"/>
        </w:rPr>
        <w:t xml:space="preserve">Информация Управления Федеральной службы по надзору в сфере защиты прав потребителей и благополучия человека по Новгородской </w:t>
      </w:r>
      <w:r w:rsidRPr="00D3069F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D3069F" w:rsidRPr="00254403" w:rsidRDefault="00D3069F" w:rsidP="00D3069F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жителей Новгородской области доброкачественной питьевой водой является одним из важных критериев санитарно-эпидемиологического благополучия населения. Проблема качества воды, как фактора, существенно влияющего не только на инфекционную, но и общую заболеваемость населения относится к одной из приоритетных задач в деятельности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069F" w:rsidRPr="00254403" w:rsidRDefault="00D3069F" w:rsidP="00D3069F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03">
        <w:rPr>
          <w:rFonts w:ascii="Times New Roman" w:eastAsia="Times New Roman" w:hAnsi="Times New Roman" w:cs="Times New Roman"/>
          <w:sz w:val="28"/>
          <w:szCs w:val="28"/>
        </w:rPr>
        <w:t>По итогам 2021 года, доля населения проживающего в населенных пунктах области, обеспеченного питьевой водой надлежащего качества из систем централизованного водоснабжения по итогам 202</w:t>
      </w:r>
      <w:r w:rsidR="00B4798E">
        <w:rPr>
          <w:rFonts w:ascii="Times New Roman" w:eastAsia="Times New Roman" w:hAnsi="Times New Roman" w:cs="Times New Roman"/>
          <w:sz w:val="28"/>
          <w:szCs w:val="28"/>
        </w:rPr>
        <w:t>1 г</w:t>
      </w:r>
      <w:r w:rsidRPr="00254403">
        <w:rPr>
          <w:rFonts w:ascii="Times New Roman" w:eastAsia="Times New Roman" w:hAnsi="Times New Roman" w:cs="Times New Roman"/>
          <w:sz w:val="28"/>
          <w:szCs w:val="28"/>
        </w:rPr>
        <w:t>ода составила-74,7% (2020г.- 73,9%).</w:t>
      </w:r>
    </w:p>
    <w:p w:rsidR="00D3069F" w:rsidRPr="00254403" w:rsidRDefault="00D3069F" w:rsidP="00D3069F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03">
        <w:rPr>
          <w:rFonts w:ascii="Times New Roman" w:eastAsia="Times New Roman" w:hAnsi="Times New Roman" w:cs="Times New Roman"/>
          <w:sz w:val="28"/>
          <w:szCs w:val="28"/>
        </w:rPr>
        <w:t>В основе гигиенических требований к качеству воды для питьевых и бытовых нужд лежит принцип, ставящий в центр внимания те качества воды, от которых зависят здоровье человека и условия его жизни: питьевая вода должна быть безопасна в эпидемиологическом отношении, безвредна по химическому составу и обладать благоприятными органолептическими свойствами.</w:t>
      </w:r>
    </w:p>
    <w:p w:rsidR="00D3069F" w:rsidRPr="00254403" w:rsidRDefault="00D3069F" w:rsidP="00D3069F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причинами неудовлетворительного качества питьевой воды являются: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антропотехногенное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 загрязнение поверхностных и подземных вод, факторы природного характера, отсутствие или ненадлежащее состояние зон санитарной охраны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водоисточников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>, не эффективные барьерные функции систем водоподготовки в условиях ухудшения качества воды и снижения класса источника водоснабжения, рассчитанного на использование традиционных схем очистки воды, низкое санитарно - техническое состояние существующих водопроводных сетей и сооружений.</w:t>
      </w:r>
    </w:p>
    <w:p w:rsidR="00D3069F" w:rsidRPr="00254403" w:rsidRDefault="00D3069F" w:rsidP="00D3069F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03">
        <w:rPr>
          <w:rFonts w:ascii="Times New Roman" w:eastAsia="Times New Roman" w:hAnsi="Times New Roman" w:cs="Times New Roman"/>
          <w:sz w:val="28"/>
          <w:szCs w:val="28"/>
        </w:rPr>
        <w:t>Централизованное водоснабжение населения Новгородской области осуществляется 643 водопроводами, из которых 25 имеют водозабор из поверхностных, и 618- из подземных источников.</w:t>
      </w:r>
    </w:p>
    <w:p w:rsidR="00D3069F" w:rsidRPr="00254403" w:rsidRDefault="00D3069F" w:rsidP="00D3069F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03">
        <w:rPr>
          <w:rFonts w:ascii="Times New Roman" w:eastAsia="Times New Roman" w:hAnsi="Times New Roman" w:cs="Times New Roman"/>
          <w:sz w:val="28"/>
          <w:szCs w:val="28"/>
          <w:u w:val="single"/>
        </w:rPr>
        <w:t>Источники централизованного водоснабжения.</w:t>
      </w:r>
    </w:p>
    <w:p w:rsidR="00D3069F" w:rsidRPr="00254403" w:rsidRDefault="00D3069F" w:rsidP="00D3069F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Уровень загрязнения воды в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водоисточниках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 остаётся высоким.</w:t>
      </w:r>
    </w:p>
    <w:p w:rsidR="00D3069F" w:rsidRPr="00254403" w:rsidRDefault="00D3069F" w:rsidP="00D3069F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По данным лабораторного контроля, проведённого в рамках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254403">
        <w:rPr>
          <w:rFonts w:ascii="Times New Roman" w:eastAsia="Times New Roman" w:hAnsi="Times New Roman" w:cs="Times New Roman"/>
          <w:sz w:val="28"/>
          <w:szCs w:val="28"/>
        </w:rPr>
        <w:softHyphen/>
        <w:t>гигиенического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 мониторинга, плановых и внеплановых проверок, производственного контроля поверхностные источники не отвечали в 52,3% (2020г.-44,3%;РФ-35,1%), подземные 29,4%(в 2020г.- 24,2%;РФ-14,1%). Отмечается высокий уровень загрязнения поверхностных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водоисточников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 по микробиологическим показателям в Новгородском районе (42,9%),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Солецком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>(55,6%),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Чудовском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(47,6%), Шимском (50,0%) районах. Высокий уровень загрязнения воды открытых водоёмов происходит из-за их загрязнения неочищенными, или недостаточно очищенными сточными водами, в том числе ливневыми, в условиях несовершенства или отсутствия очистных сооружений; качество воды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водоисточников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 также зависит от соблюдения зон санитарной охраны (ЗСО).</w:t>
      </w:r>
    </w:p>
    <w:p w:rsidR="00D3069F" w:rsidRPr="00254403" w:rsidRDefault="00D3069F" w:rsidP="00D3069F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По уточненным данным в 2021 году удельный вес источников </w:t>
      </w:r>
      <w:r w:rsidRPr="00254403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централизованного питьевого водоснабжения, не имеющих зон санитарной охраны (ЗСО), снизился и составил 33,4%(2020год-42,9%).Не имеют утверждённых ЗСО 3 поверхностных источника (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Окуловский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 район) и 212 подземны</w:t>
      </w:r>
      <w:proofErr w:type="gramStart"/>
      <w:r w:rsidRPr="00254403">
        <w:rPr>
          <w:rFonts w:ascii="Times New Roman" w:eastAsia="Times New Roman" w:hAnsi="Times New Roman" w:cs="Times New Roman"/>
          <w:sz w:val="28"/>
          <w:szCs w:val="28"/>
        </w:rPr>
        <w:t>х(</w:t>
      </w:r>
      <w:proofErr w:type="gram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наибольшее количество в Старорусском,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Болотовском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>, Мошенском районах). Для данных источников не обеспечены меры по защите и сохранению постоянства природного состава воды в водозаборе путём устранения и предупреждения возможности её загрязнения.</w:t>
      </w:r>
    </w:p>
    <w:p w:rsidR="00D3069F" w:rsidRPr="00254403" w:rsidRDefault="00D3069F" w:rsidP="00D3069F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03">
        <w:rPr>
          <w:rFonts w:ascii="Times New Roman" w:eastAsia="Times New Roman" w:hAnsi="Times New Roman" w:cs="Times New Roman"/>
          <w:sz w:val="28"/>
          <w:szCs w:val="28"/>
          <w:u w:val="single"/>
        </w:rPr>
        <w:t>Водопроводные сооружения и разводящая сеть.</w:t>
      </w:r>
    </w:p>
    <w:p w:rsidR="00D3069F" w:rsidRPr="00254403" w:rsidRDefault="00D3069F" w:rsidP="00D3069F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03">
        <w:rPr>
          <w:rFonts w:ascii="Times New Roman" w:eastAsia="Times New Roman" w:hAnsi="Times New Roman" w:cs="Times New Roman"/>
          <w:sz w:val="28"/>
          <w:szCs w:val="28"/>
        </w:rPr>
        <w:t>Неудовлетворительной остаётся ситуация с водопроводными сооружениями и разводящими сетями, несмотря на проводимые мероприятия в рамках федеральных и областных программ, 44%(2020-45,8%) водопроводов требует необходимого комплекса очистных сооружений.</w:t>
      </w:r>
    </w:p>
    <w:p w:rsidR="00D3069F" w:rsidRPr="00254403" w:rsidRDefault="00D3069F" w:rsidP="00D306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03">
        <w:rPr>
          <w:rFonts w:ascii="Times New Roman" w:eastAsia="Times New Roman" w:hAnsi="Times New Roman" w:cs="Times New Roman"/>
          <w:sz w:val="28"/>
          <w:szCs w:val="28"/>
        </w:rPr>
        <w:t>В разводящей сети и на выходе с водопроводов количество неудовлетворительных проб питьевой воды по санитарно-химическим показателям составило 36,86% (2020г.-37,0%; РФ - 13,3%).Приоритетными химическими загрязнителями являются железо, марганец, алюминий, хлороформ. На некоторых территориях (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Боровический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Окуловский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Парфинский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Шимский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4403">
        <w:rPr>
          <w:rFonts w:ascii="Times New Roman" w:eastAsia="Times New Roman" w:hAnsi="Times New Roman" w:cs="Times New Roman"/>
          <w:sz w:val="28"/>
          <w:szCs w:val="28"/>
        </w:rPr>
        <w:t>Новгородский</w:t>
      </w:r>
      <w:proofErr w:type="gram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 районы) вода из подземных источников превышает гигиенические нормативы по показателям фтору, бору, общей минерализации. Наиболее неудовлетворительное качество воды по санитарно - химическим показателям и микробиологическим показателям отмечается в водопроводах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Болотовского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Любытинского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, Мошенского,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Маловишерского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Поддорского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Холмского</w:t>
      </w:r>
      <w:proofErr w:type="gramStart"/>
      <w:r w:rsidRPr="00254403">
        <w:rPr>
          <w:rFonts w:ascii="Times New Roman" w:eastAsia="Times New Roman" w:hAnsi="Times New Roman" w:cs="Times New Roman"/>
          <w:sz w:val="28"/>
          <w:szCs w:val="28"/>
        </w:rPr>
        <w:t>,Ш</w:t>
      </w:r>
      <w:proofErr w:type="gramEnd"/>
      <w:r w:rsidRPr="00254403">
        <w:rPr>
          <w:rFonts w:ascii="Times New Roman" w:eastAsia="Times New Roman" w:hAnsi="Times New Roman" w:cs="Times New Roman"/>
          <w:sz w:val="28"/>
          <w:szCs w:val="28"/>
        </w:rPr>
        <w:t>имского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 районов.</w:t>
      </w:r>
    </w:p>
    <w:p w:rsidR="00D3069F" w:rsidRPr="00254403" w:rsidRDefault="00D3069F" w:rsidP="00D306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03">
        <w:rPr>
          <w:rFonts w:ascii="Times New Roman" w:eastAsia="Times New Roman" w:hAnsi="Times New Roman" w:cs="Times New Roman"/>
          <w:sz w:val="28"/>
          <w:szCs w:val="28"/>
        </w:rPr>
        <w:t>В течение 2021 года в питьевой воде из водопроводных сетей выявлялось превышение предельно-допустимой концентрации хлороформа и остаточного алюминия в 25,5% случаев (2020г.-27,1%) (В</w:t>
      </w:r>
      <w:proofErr w:type="gramStart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Новгород,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Боровический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Маловишерский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, Новгородский,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Окуловский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Парфинский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Солецкий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Шимский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 районы).</w:t>
      </w:r>
    </w:p>
    <w:p w:rsidR="00D3069F" w:rsidRPr="00254403" w:rsidRDefault="00D3069F" w:rsidP="00D306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03">
        <w:rPr>
          <w:rFonts w:ascii="Times New Roman" w:eastAsia="Times New Roman" w:hAnsi="Times New Roman" w:cs="Times New Roman"/>
          <w:sz w:val="28"/>
          <w:szCs w:val="28"/>
        </w:rPr>
        <w:t>По микробиологическим показателям не соответствовало гигиеническим нормативам 5,76% исследованных проб (2020г.-5,3%; РФ - 2,6%).</w:t>
      </w:r>
    </w:p>
    <w:p w:rsidR="00D3069F" w:rsidRPr="00254403" w:rsidRDefault="00D3069F" w:rsidP="00D306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03">
        <w:rPr>
          <w:rFonts w:ascii="Times New Roman" w:eastAsia="Times New Roman" w:hAnsi="Times New Roman" w:cs="Times New Roman"/>
          <w:sz w:val="28"/>
          <w:szCs w:val="28"/>
        </w:rPr>
        <w:t>Неудовлетворительное качество воды приводит к обоснованным обращениям граждан; количество жалоб на качество воды в 2021г. составило 74(2020г.-59).</w:t>
      </w:r>
    </w:p>
    <w:p w:rsidR="00D3069F" w:rsidRPr="00254403" w:rsidRDefault="00D3069F" w:rsidP="00D306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Несмотря на то, что качество воды из </w:t>
      </w:r>
      <w:proofErr w:type="gramStart"/>
      <w:r w:rsidRPr="0025440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нецентрализованных</w:t>
      </w:r>
      <w:proofErr w:type="gramEnd"/>
      <w:r w:rsidRPr="0025440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25440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водоисточников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 (общественные колодцы, родники) улучшилось, оно ещё является неудовлетворительным. Качество воды из указанных источников по санитарно-химическим показателям не соответствовало в 45,7% проб (2020г.- 56,4%); по бактериологическим показателям -29,4%(2020г.-54,3%). Наиболее неблагоприятная ситуация в отношении общественных колодцев сложилась в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Болотовском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Крестецком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Маловишерском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Любытинском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Солецком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>, Шимском районах.</w:t>
      </w:r>
    </w:p>
    <w:p w:rsidR="00D3069F" w:rsidRPr="00254403" w:rsidRDefault="00D3069F" w:rsidP="00D306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03">
        <w:rPr>
          <w:rFonts w:ascii="Times New Roman" w:eastAsia="Times New Roman" w:hAnsi="Times New Roman" w:cs="Times New Roman"/>
          <w:sz w:val="28"/>
          <w:szCs w:val="28"/>
        </w:rPr>
        <w:t>Доля неудовлетворительных проб горячей воды из разводящих сетей Новгородской области в 2021 году по санитарно-химическим показателям составила 35,2% (2020г.-33,0%; при этом холодная вода-36,86%). Кроме того, отмечается превышение гигиенических нормативов по хлороформу. Доля неудовлетворительных проб по хлороформу в 2021г. уменьшилась и составила- 6,4% (2020г.-20,2%;при этом в холодной воде-23,4%) неудовлетворительные проб горячей воды из разводящих сетей Новгородской области в 2021 году по микробиологическим показателям не регистрировались (2020г.- 1,0%;холодная вода- 5,76%). Доля неудовлетворительных проб горячей воды из разводящих сетей на не соответствие температурному режиму увеличилась и составила 40,0% (2020г.-14,2%).</w:t>
      </w:r>
    </w:p>
    <w:p w:rsidR="00D3069F" w:rsidRPr="00254403" w:rsidRDefault="00D3069F" w:rsidP="00D306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госсанэпиднадзора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 за допущенные нарушения по обеспечению населения доброкачественной питьевой водой, несоблюдению режима зон санитарной охраны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водоисточников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 за 2021г. составлено 91 протокол (2020г.- 54); вынесено постановлений о привлечении лиц, допустивших правонарушения в области водоснабжения, на сумму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ЮЗЗтыс</w:t>
      </w:r>
      <w:proofErr w:type="gramStart"/>
      <w:r w:rsidRPr="00254403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54403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>. (2020г.-551,0тыс.руб.).</w:t>
      </w:r>
    </w:p>
    <w:p w:rsidR="00D3069F" w:rsidRPr="00254403" w:rsidRDefault="00D3069F" w:rsidP="00D306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0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4403">
        <w:rPr>
          <w:rFonts w:ascii="Times New Roman" w:eastAsia="Times New Roman" w:hAnsi="Times New Roman" w:cs="Times New Roman"/>
          <w:sz w:val="28"/>
          <w:szCs w:val="28"/>
        </w:rPr>
        <w:tab/>
        <w:t>2021 года продолжилась работа по привлечению органов 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и хозяйствующих субъектов ВКХ о признании бездействия </w:t>
      </w:r>
      <w:proofErr w:type="gramStart"/>
      <w:r w:rsidRPr="00254403">
        <w:rPr>
          <w:rFonts w:ascii="Times New Roman" w:eastAsia="Times New Roman" w:hAnsi="Times New Roman" w:cs="Times New Roman"/>
          <w:sz w:val="28"/>
          <w:szCs w:val="28"/>
        </w:rPr>
        <w:t>незаконным</w:t>
      </w:r>
      <w:proofErr w:type="gram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 и понуждении к выполнению обязательных требований санитарного законодательства по обеспечению надлежащего качества питьевой воды и разработке проектов организации зон санитарной охраны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водоисточников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. Так удовлетворены два иска: к администрация Новгородского муниципального района, по обеспечению соответствия питьевой воды в артезианской скважине д.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Новониколаевское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 Новгородского района гигиеническим требованиям по содержанию бора, к администрации </w:t>
      </w:r>
      <w:proofErr w:type="spellStart"/>
      <w:r w:rsidRPr="00254403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Pr="002544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по обеспечению питьевой водой в приоритетном порядке в количестве, достаточном для удовлетворения физиологических и бытовых потребностей жителей ул</w:t>
      </w:r>
      <w:proofErr w:type="gramStart"/>
      <w:r w:rsidRPr="00254403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254403">
        <w:rPr>
          <w:rFonts w:ascii="Times New Roman" w:eastAsia="Times New Roman" w:hAnsi="Times New Roman" w:cs="Times New Roman"/>
          <w:sz w:val="28"/>
          <w:szCs w:val="28"/>
        </w:rPr>
        <w:t>урортная г.Окуловки.</w:t>
      </w:r>
    </w:p>
    <w:p w:rsidR="00D3069F" w:rsidRPr="00254403" w:rsidRDefault="00D3069F" w:rsidP="00D306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03">
        <w:rPr>
          <w:rFonts w:ascii="Times New Roman" w:eastAsia="Times New Roman" w:hAnsi="Times New Roman" w:cs="Times New Roman"/>
          <w:sz w:val="28"/>
          <w:szCs w:val="28"/>
        </w:rPr>
        <w:t>По итогам проведённых проверок, данных мониторинга в 2021 году направлено 22 уведомления в органы местного самоуправления с предложениями о принятии соответствующих управленческих решений по обеспечению населения доброкачественной питьевой водой.</w:t>
      </w:r>
    </w:p>
    <w:p w:rsidR="00D3069F" w:rsidRDefault="00D3069F" w:rsidP="00D306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03">
        <w:rPr>
          <w:rFonts w:ascii="Times New Roman" w:eastAsia="Times New Roman" w:hAnsi="Times New Roman" w:cs="Times New Roman"/>
          <w:sz w:val="28"/>
          <w:szCs w:val="28"/>
        </w:rPr>
        <w:t>В этой связи, в целях обеспечения санитарно-эпидемиологического благополучия населения и реализации Федерального закона от 07.12.2011г.№416-ФЗ «О водоснабжении и водоотведении» предлагаю Вам использовать данную информацию в работе при планировании мероприятий в 2022 году по улучшению питьевого водоснабжения области.</w:t>
      </w:r>
    </w:p>
    <w:p w:rsidR="00D3069F" w:rsidRDefault="00D3069F" w:rsidP="00D306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69F" w:rsidRDefault="00D3069F" w:rsidP="00D306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69F" w:rsidRDefault="00D3069F" w:rsidP="00D306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Overlap w:val="never"/>
        <w:tblW w:w="938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22"/>
        <w:gridCol w:w="1757"/>
        <w:gridCol w:w="2034"/>
        <w:gridCol w:w="1559"/>
        <w:gridCol w:w="1716"/>
      </w:tblGrid>
      <w:tr w:rsidR="00425261" w:rsidRPr="00DF7EB0" w:rsidTr="002F6225">
        <w:trPr>
          <w:trHeight w:hRule="exact" w:val="1382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425261" w:rsidRDefault="00425261" w:rsidP="00425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261">
              <w:rPr>
                <w:rFonts w:ascii="Times New Roman" w:hAnsi="Times New Roman" w:cs="Times New Roman"/>
                <w:b/>
                <w:sz w:val="28"/>
                <w:szCs w:val="28"/>
              </w:rPr>
              <w:t>Доля неудовлетворительных проб по санитарно-химическим показателям, %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261" w:rsidRPr="00425261" w:rsidRDefault="00425261" w:rsidP="00425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261">
              <w:rPr>
                <w:rFonts w:ascii="Times New Roman" w:hAnsi="Times New Roman" w:cs="Times New Roman"/>
                <w:b/>
                <w:sz w:val="28"/>
                <w:szCs w:val="28"/>
              </w:rPr>
              <w:t>Доля неудовлетворительных проб по микробиологическим показателям, %</w:t>
            </w:r>
          </w:p>
        </w:tc>
      </w:tr>
      <w:tr w:rsidR="00425261" w:rsidRPr="00DF7EB0" w:rsidTr="002F6225">
        <w:trPr>
          <w:trHeight w:hRule="exact" w:val="511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25261" w:rsidRPr="00DF7EB0" w:rsidTr="002F6225">
        <w:trPr>
          <w:trHeight w:hRule="exact" w:val="515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Великий Новгород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425261" w:rsidRPr="00DF7EB0" w:rsidTr="002F6225">
        <w:trPr>
          <w:trHeight w:hRule="exact" w:val="49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Боровичский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425261" w:rsidRPr="00DF7EB0" w:rsidTr="002F6225">
        <w:trPr>
          <w:trHeight w:hRule="exact" w:val="49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Батецкий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425261" w:rsidRPr="00DF7EB0" w:rsidTr="002F6225">
        <w:trPr>
          <w:trHeight w:hRule="exact" w:val="49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Валдайский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25261" w:rsidRPr="00DF7EB0" w:rsidTr="002F6225">
        <w:trPr>
          <w:trHeight w:hRule="exact" w:val="49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Болотовский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261" w:rsidRPr="00DF7EB0" w:rsidTr="002F6225">
        <w:trPr>
          <w:trHeight w:hRule="exact" w:val="500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Демянский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425261" w:rsidRPr="00DF7EB0" w:rsidTr="002F6225">
        <w:trPr>
          <w:trHeight w:hRule="exact" w:val="49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Крестецкий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</w:tr>
      <w:tr w:rsidR="00425261" w:rsidRPr="00DF7EB0" w:rsidTr="002F6225">
        <w:trPr>
          <w:trHeight w:hRule="exact" w:val="504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Любытинский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425261" w:rsidRPr="00DF7EB0" w:rsidTr="002F6225">
        <w:trPr>
          <w:trHeight w:hRule="exact" w:val="49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Маловишерский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425261" w:rsidRPr="00DF7EB0" w:rsidTr="002F6225">
        <w:trPr>
          <w:trHeight w:hRule="exact" w:val="49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Марёвский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5261" w:rsidRPr="00DF7EB0" w:rsidTr="002F6225">
        <w:trPr>
          <w:trHeight w:hRule="exact" w:val="49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Мошенской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74,2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425261" w:rsidRPr="00DF7EB0" w:rsidTr="002F6225">
        <w:trPr>
          <w:trHeight w:hRule="exact" w:val="49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Новгородский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425261" w:rsidRPr="00DF7EB0" w:rsidTr="002F6225">
        <w:trPr>
          <w:trHeight w:hRule="exact" w:val="49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Окуловский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425261" w:rsidRPr="00DF7EB0" w:rsidTr="002F6225">
        <w:trPr>
          <w:trHeight w:hRule="exact" w:val="504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Парфинский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425261" w:rsidRPr="00DF7EB0" w:rsidTr="002F6225">
        <w:trPr>
          <w:trHeight w:hRule="exact" w:val="500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Пестовский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25261" w:rsidRPr="00DF7EB0" w:rsidTr="002F6225">
        <w:trPr>
          <w:trHeight w:hRule="exact" w:val="49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Поддорский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</w:tr>
      <w:tr w:rsidR="00425261" w:rsidRPr="00DF7EB0" w:rsidTr="002F6225">
        <w:trPr>
          <w:trHeight w:hRule="exact" w:val="619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Солецкий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425261" w:rsidRPr="00DF7EB0" w:rsidTr="002F6225">
        <w:trPr>
          <w:trHeight w:hRule="exact" w:val="49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Старорусский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5261" w:rsidRPr="00DF7EB0" w:rsidTr="002F6225">
        <w:trPr>
          <w:trHeight w:hRule="exact" w:val="544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Хвойнинский</w:t>
            </w:r>
            <w:proofErr w:type="spellEnd"/>
          </w:p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425261" w:rsidRPr="00DF7EB0" w:rsidTr="002F6225">
        <w:trPr>
          <w:trHeight w:hRule="exact" w:val="504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Холмский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425261" w:rsidRPr="00DF7EB0" w:rsidTr="00425261">
        <w:trPr>
          <w:trHeight w:hRule="exact" w:val="379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Чудовский</w:t>
            </w:r>
            <w:proofErr w:type="spellEnd"/>
          </w:p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</w:tr>
      <w:tr w:rsidR="00425261" w:rsidRPr="00DF7EB0" w:rsidTr="00425261">
        <w:trPr>
          <w:trHeight w:hRule="exact" w:val="414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Шимский</w:t>
            </w:r>
            <w:proofErr w:type="spellEnd"/>
          </w:p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</w:tr>
      <w:tr w:rsidR="00425261" w:rsidRPr="00DF7EB0" w:rsidTr="005B66B0">
        <w:trPr>
          <w:trHeight w:hRule="exact" w:val="419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261" w:rsidRPr="00DF7EB0" w:rsidRDefault="00425261" w:rsidP="002F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DF7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261" w:rsidRPr="00DF7EB0" w:rsidRDefault="00425261" w:rsidP="0042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261" w:rsidRPr="00425261" w:rsidRDefault="00425261" w:rsidP="00425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261">
              <w:rPr>
                <w:rFonts w:ascii="Times New Roman" w:hAnsi="Times New Roman" w:cs="Times New Roman"/>
                <w:b/>
                <w:sz w:val="28"/>
                <w:szCs w:val="28"/>
              </w:rPr>
              <w:t>5,76</w:t>
            </w:r>
          </w:p>
        </w:tc>
      </w:tr>
    </w:tbl>
    <w:p w:rsidR="00425261" w:rsidRPr="00DF7EB0" w:rsidRDefault="00425261" w:rsidP="00425261">
      <w:pPr>
        <w:rPr>
          <w:rFonts w:ascii="Times New Roman" w:hAnsi="Times New Roman" w:cs="Times New Roman"/>
          <w:sz w:val="28"/>
          <w:szCs w:val="28"/>
        </w:rPr>
      </w:pPr>
    </w:p>
    <w:p w:rsidR="00425261" w:rsidRPr="00DF7EB0" w:rsidRDefault="00425261" w:rsidP="00425261">
      <w:pPr>
        <w:rPr>
          <w:rFonts w:ascii="Times New Roman" w:hAnsi="Times New Roman" w:cs="Times New Roman"/>
          <w:sz w:val="28"/>
          <w:szCs w:val="28"/>
        </w:rPr>
      </w:pPr>
    </w:p>
    <w:p w:rsidR="00D3069F" w:rsidRPr="00254403" w:rsidRDefault="00D3069F" w:rsidP="00D306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3069F" w:rsidRPr="00254403" w:rsidSect="001D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131B55"/>
    <w:rsid w:val="0002178C"/>
    <w:rsid w:val="00131B55"/>
    <w:rsid w:val="001D71F3"/>
    <w:rsid w:val="0039591F"/>
    <w:rsid w:val="003E0356"/>
    <w:rsid w:val="00425261"/>
    <w:rsid w:val="005B66B0"/>
    <w:rsid w:val="008014AF"/>
    <w:rsid w:val="00805045"/>
    <w:rsid w:val="008F18B0"/>
    <w:rsid w:val="00B4798E"/>
    <w:rsid w:val="00D051B1"/>
    <w:rsid w:val="00D3069F"/>
    <w:rsid w:val="00DA373F"/>
    <w:rsid w:val="00D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1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UserZhKH</dc:creator>
  <cp:lastModifiedBy>UserZhKH</cp:lastModifiedBy>
  <cp:revision>2</cp:revision>
  <dcterms:created xsi:type="dcterms:W3CDTF">2022-03-10T06:50:00Z</dcterms:created>
  <dcterms:modified xsi:type="dcterms:W3CDTF">2022-03-10T06:50:00Z</dcterms:modified>
</cp:coreProperties>
</file>